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975F" w14:textId="0646D386" w:rsidR="00FF4ABE" w:rsidRPr="00F464AD" w:rsidRDefault="00F464AD" w:rsidP="00F63578">
      <w:pPr>
        <w:pBdr>
          <w:top w:val="nil"/>
          <w:left w:val="nil"/>
          <w:bottom w:val="nil"/>
          <w:right w:val="nil"/>
          <w:between w:val="nil"/>
        </w:pBdr>
        <w:spacing w:after="120" w:line="360" w:lineRule="auto"/>
        <w:jc w:val="both"/>
        <w:rPr>
          <w:rFonts w:ascii="Arial" w:eastAsia="Arial" w:hAnsi="Arial" w:cs="Arial"/>
          <w:b/>
          <w:color w:val="010000"/>
          <w:sz w:val="20"/>
          <w:szCs w:val="20"/>
        </w:rPr>
      </w:pPr>
      <w:r w:rsidRPr="00F464AD">
        <w:rPr>
          <w:rFonts w:ascii="Arial" w:hAnsi="Arial" w:cs="Arial"/>
          <w:b/>
          <w:bCs/>
          <w:color w:val="010000"/>
          <w:sz w:val="20"/>
          <w:szCs w:val="20"/>
        </w:rPr>
        <w:t>V12:</w:t>
      </w:r>
      <w:r w:rsidRPr="00F464AD">
        <w:rPr>
          <w:rFonts w:ascii="Arial" w:hAnsi="Arial" w:cs="Arial"/>
          <w:b/>
          <w:color w:val="010000"/>
          <w:sz w:val="20"/>
          <w:szCs w:val="20"/>
        </w:rPr>
        <w:t xml:space="preserve"> Annual General Mandate</w:t>
      </w:r>
      <w:r w:rsidR="00F63578">
        <w:rPr>
          <w:rFonts w:ascii="Arial" w:hAnsi="Arial" w:cs="Arial"/>
          <w:b/>
          <w:color w:val="010000"/>
          <w:sz w:val="20"/>
          <w:szCs w:val="20"/>
        </w:rPr>
        <w:t xml:space="preserve"> 2024</w:t>
      </w:r>
    </w:p>
    <w:p w14:paraId="32E4D8ED" w14:textId="77777777"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On April 16, 2024, Viet Nam Construction Joint Stock Company No 12 announced General Mandate No. 01/2024/NQ - DHDCD as follows: </w:t>
      </w:r>
    </w:p>
    <w:p w14:paraId="3840B1AF" w14:textId="7558791E"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Article 1. APPROVE THE REPORT OF THE </w:t>
      </w:r>
      <w:r w:rsidR="00F63578">
        <w:rPr>
          <w:rFonts w:ascii="Arial" w:hAnsi="Arial" w:cs="Arial"/>
          <w:color w:val="010000"/>
          <w:sz w:val="20"/>
          <w:szCs w:val="20"/>
        </w:rPr>
        <w:t>EXECUTIVE BOARD</w:t>
      </w:r>
      <w:r w:rsidRPr="00F464AD">
        <w:rPr>
          <w:rFonts w:ascii="Arial" w:hAnsi="Arial" w:cs="Arial"/>
          <w:color w:val="010000"/>
          <w:sz w:val="20"/>
          <w:szCs w:val="20"/>
        </w:rPr>
        <w:t xml:space="preserve"> ON EVALUATING THE PRODUCTION AND BUSINESS ACTIVITIES IN 2023 AND THE PRODUCTION AND BUSINESS PLAN FOR 2024</w:t>
      </w:r>
    </w:p>
    <w:p w14:paraId="24ED5C68" w14:textId="77777777"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1.1 Results of production and business activities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3778"/>
        <w:gridCol w:w="1522"/>
        <w:gridCol w:w="1546"/>
        <w:gridCol w:w="1542"/>
      </w:tblGrid>
      <w:tr w:rsidR="00FF4ABE" w:rsidRPr="00F464AD" w14:paraId="576048E1" w14:textId="77777777">
        <w:tc>
          <w:tcPr>
            <w:tcW w:w="629" w:type="dxa"/>
            <w:shd w:val="clear" w:color="auto" w:fill="auto"/>
            <w:tcMar>
              <w:top w:w="0" w:type="dxa"/>
              <w:bottom w:w="0" w:type="dxa"/>
            </w:tcMar>
            <w:vAlign w:val="center"/>
          </w:tcPr>
          <w:p w14:paraId="40FECB10"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No.</w:t>
            </w:r>
          </w:p>
        </w:tc>
        <w:tc>
          <w:tcPr>
            <w:tcW w:w="3778" w:type="dxa"/>
            <w:shd w:val="clear" w:color="auto" w:fill="auto"/>
            <w:tcMar>
              <w:top w:w="0" w:type="dxa"/>
              <w:bottom w:w="0" w:type="dxa"/>
            </w:tcMar>
            <w:vAlign w:val="center"/>
          </w:tcPr>
          <w:p w14:paraId="09C0F105"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F464AD">
              <w:rPr>
                <w:rFonts w:ascii="Arial" w:hAnsi="Arial" w:cs="Arial"/>
                <w:color w:val="010000"/>
                <w:sz w:val="20"/>
                <w:szCs w:val="20"/>
              </w:rPr>
              <w:t xml:space="preserve">Main targets </w:t>
            </w:r>
          </w:p>
        </w:tc>
        <w:tc>
          <w:tcPr>
            <w:tcW w:w="1522" w:type="dxa"/>
            <w:shd w:val="clear" w:color="auto" w:fill="auto"/>
            <w:tcMar>
              <w:top w:w="0" w:type="dxa"/>
              <w:bottom w:w="0" w:type="dxa"/>
            </w:tcMar>
            <w:vAlign w:val="center"/>
          </w:tcPr>
          <w:p w14:paraId="49EAF5E0"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Unit</w:t>
            </w:r>
          </w:p>
        </w:tc>
        <w:tc>
          <w:tcPr>
            <w:tcW w:w="1546" w:type="dxa"/>
            <w:shd w:val="clear" w:color="auto" w:fill="auto"/>
            <w:tcMar>
              <w:top w:w="0" w:type="dxa"/>
              <w:bottom w:w="0" w:type="dxa"/>
            </w:tcMar>
            <w:vAlign w:val="center"/>
          </w:tcPr>
          <w:p w14:paraId="55E780E5"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 xml:space="preserve">Results 2023 </w:t>
            </w:r>
          </w:p>
        </w:tc>
        <w:tc>
          <w:tcPr>
            <w:tcW w:w="1542" w:type="dxa"/>
            <w:shd w:val="clear" w:color="auto" w:fill="auto"/>
            <w:tcMar>
              <w:top w:w="0" w:type="dxa"/>
              <w:bottom w:w="0" w:type="dxa"/>
            </w:tcMar>
            <w:vAlign w:val="center"/>
          </w:tcPr>
          <w:p w14:paraId="2D48A7F6"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 xml:space="preserve">% compared to plan 2023 </w:t>
            </w:r>
          </w:p>
        </w:tc>
      </w:tr>
      <w:tr w:rsidR="00FF4ABE" w:rsidRPr="00F464AD" w14:paraId="442AFB37" w14:textId="77777777">
        <w:tc>
          <w:tcPr>
            <w:tcW w:w="629" w:type="dxa"/>
            <w:shd w:val="clear" w:color="auto" w:fill="auto"/>
            <w:tcMar>
              <w:top w:w="0" w:type="dxa"/>
              <w:bottom w:w="0" w:type="dxa"/>
            </w:tcMar>
            <w:vAlign w:val="center"/>
          </w:tcPr>
          <w:p w14:paraId="23D8C8A4"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w:t>
            </w:r>
          </w:p>
        </w:tc>
        <w:tc>
          <w:tcPr>
            <w:tcW w:w="3778" w:type="dxa"/>
            <w:shd w:val="clear" w:color="auto" w:fill="auto"/>
            <w:tcMar>
              <w:top w:w="0" w:type="dxa"/>
              <w:bottom w:w="0" w:type="dxa"/>
            </w:tcMar>
            <w:vAlign w:val="center"/>
          </w:tcPr>
          <w:p w14:paraId="4E95FA71"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Total revenue</w:t>
            </w:r>
          </w:p>
        </w:tc>
        <w:tc>
          <w:tcPr>
            <w:tcW w:w="1522" w:type="dxa"/>
            <w:shd w:val="clear" w:color="auto" w:fill="auto"/>
            <w:tcMar>
              <w:top w:w="0" w:type="dxa"/>
              <w:bottom w:w="0" w:type="dxa"/>
            </w:tcMar>
            <w:vAlign w:val="center"/>
          </w:tcPr>
          <w:p w14:paraId="6AB5AA19"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 xml:space="preserve">Million VND </w:t>
            </w:r>
          </w:p>
        </w:tc>
        <w:tc>
          <w:tcPr>
            <w:tcW w:w="1546" w:type="dxa"/>
            <w:shd w:val="clear" w:color="auto" w:fill="auto"/>
            <w:tcMar>
              <w:top w:w="0" w:type="dxa"/>
              <w:bottom w:w="0" w:type="dxa"/>
            </w:tcMar>
            <w:vAlign w:val="center"/>
          </w:tcPr>
          <w:p w14:paraId="564B743F"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374,397</w:t>
            </w:r>
          </w:p>
        </w:tc>
        <w:tc>
          <w:tcPr>
            <w:tcW w:w="1542" w:type="dxa"/>
            <w:shd w:val="clear" w:color="auto" w:fill="auto"/>
            <w:tcMar>
              <w:top w:w="0" w:type="dxa"/>
              <w:bottom w:w="0" w:type="dxa"/>
            </w:tcMar>
            <w:vAlign w:val="center"/>
          </w:tcPr>
          <w:p w14:paraId="27B775B2"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93.6%</w:t>
            </w:r>
          </w:p>
        </w:tc>
      </w:tr>
      <w:tr w:rsidR="00FF4ABE" w:rsidRPr="00F464AD" w14:paraId="22D97A84" w14:textId="77777777">
        <w:tc>
          <w:tcPr>
            <w:tcW w:w="629" w:type="dxa"/>
            <w:shd w:val="clear" w:color="auto" w:fill="auto"/>
            <w:tcMar>
              <w:top w:w="0" w:type="dxa"/>
              <w:bottom w:w="0" w:type="dxa"/>
            </w:tcMar>
            <w:vAlign w:val="center"/>
          </w:tcPr>
          <w:p w14:paraId="3FF446BF"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2</w:t>
            </w:r>
          </w:p>
        </w:tc>
        <w:tc>
          <w:tcPr>
            <w:tcW w:w="3778" w:type="dxa"/>
            <w:shd w:val="clear" w:color="auto" w:fill="auto"/>
            <w:tcMar>
              <w:top w:w="0" w:type="dxa"/>
              <w:bottom w:w="0" w:type="dxa"/>
            </w:tcMar>
            <w:vAlign w:val="center"/>
          </w:tcPr>
          <w:p w14:paraId="194AD818"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Profit before tax</w:t>
            </w:r>
          </w:p>
        </w:tc>
        <w:tc>
          <w:tcPr>
            <w:tcW w:w="1522" w:type="dxa"/>
            <w:shd w:val="clear" w:color="auto" w:fill="auto"/>
            <w:tcMar>
              <w:top w:w="0" w:type="dxa"/>
              <w:bottom w:w="0" w:type="dxa"/>
            </w:tcMar>
            <w:vAlign w:val="center"/>
          </w:tcPr>
          <w:p w14:paraId="6750C7DD"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Million VND</w:t>
            </w:r>
          </w:p>
        </w:tc>
        <w:tc>
          <w:tcPr>
            <w:tcW w:w="1546" w:type="dxa"/>
            <w:shd w:val="clear" w:color="auto" w:fill="auto"/>
            <w:tcMar>
              <w:top w:w="0" w:type="dxa"/>
              <w:bottom w:w="0" w:type="dxa"/>
            </w:tcMar>
            <w:vAlign w:val="center"/>
          </w:tcPr>
          <w:p w14:paraId="21105D80"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11,747</w:t>
            </w:r>
          </w:p>
        </w:tc>
        <w:tc>
          <w:tcPr>
            <w:tcW w:w="1542" w:type="dxa"/>
            <w:shd w:val="clear" w:color="auto" w:fill="auto"/>
            <w:tcMar>
              <w:top w:w="0" w:type="dxa"/>
              <w:bottom w:w="0" w:type="dxa"/>
            </w:tcMar>
            <w:vAlign w:val="center"/>
          </w:tcPr>
          <w:p w14:paraId="0BDFC6C7"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127.7%</w:t>
            </w:r>
          </w:p>
        </w:tc>
      </w:tr>
      <w:tr w:rsidR="00FF4ABE" w:rsidRPr="00F464AD" w14:paraId="27C3F463" w14:textId="77777777">
        <w:tc>
          <w:tcPr>
            <w:tcW w:w="629" w:type="dxa"/>
            <w:shd w:val="clear" w:color="auto" w:fill="auto"/>
            <w:tcMar>
              <w:top w:w="0" w:type="dxa"/>
              <w:bottom w:w="0" w:type="dxa"/>
            </w:tcMar>
            <w:vAlign w:val="center"/>
          </w:tcPr>
          <w:p w14:paraId="0C3DD29A"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3</w:t>
            </w:r>
          </w:p>
        </w:tc>
        <w:tc>
          <w:tcPr>
            <w:tcW w:w="3778" w:type="dxa"/>
            <w:shd w:val="clear" w:color="auto" w:fill="auto"/>
            <w:tcMar>
              <w:top w:w="0" w:type="dxa"/>
              <w:bottom w:w="0" w:type="dxa"/>
            </w:tcMar>
            <w:vAlign w:val="center"/>
          </w:tcPr>
          <w:p w14:paraId="3AC51DB6"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Profit after tax</w:t>
            </w:r>
          </w:p>
        </w:tc>
        <w:tc>
          <w:tcPr>
            <w:tcW w:w="1522" w:type="dxa"/>
            <w:shd w:val="clear" w:color="auto" w:fill="auto"/>
            <w:tcMar>
              <w:top w:w="0" w:type="dxa"/>
              <w:bottom w:w="0" w:type="dxa"/>
            </w:tcMar>
            <w:vAlign w:val="center"/>
          </w:tcPr>
          <w:p w14:paraId="371198B3"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Million VND</w:t>
            </w:r>
          </w:p>
        </w:tc>
        <w:tc>
          <w:tcPr>
            <w:tcW w:w="1546" w:type="dxa"/>
            <w:shd w:val="clear" w:color="auto" w:fill="auto"/>
            <w:tcMar>
              <w:top w:w="0" w:type="dxa"/>
              <w:bottom w:w="0" w:type="dxa"/>
            </w:tcMar>
            <w:vAlign w:val="center"/>
          </w:tcPr>
          <w:p w14:paraId="391BCCBD"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9,368</w:t>
            </w:r>
          </w:p>
        </w:tc>
        <w:tc>
          <w:tcPr>
            <w:tcW w:w="1542" w:type="dxa"/>
            <w:shd w:val="clear" w:color="auto" w:fill="auto"/>
            <w:tcMar>
              <w:top w:w="0" w:type="dxa"/>
              <w:bottom w:w="0" w:type="dxa"/>
            </w:tcMar>
            <w:vAlign w:val="center"/>
          </w:tcPr>
          <w:p w14:paraId="7A8A53F6"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124.9%</w:t>
            </w:r>
          </w:p>
        </w:tc>
      </w:tr>
      <w:tr w:rsidR="00FF4ABE" w:rsidRPr="00F464AD" w14:paraId="66B2BD03" w14:textId="77777777">
        <w:tc>
          <w:tcPr>
            <w:tcW w:w="629" w:type="dxa"/>
            <w:shd w:val="clear" w:color="auto" w:fill="auto"/>
            <w:tcMar>
              <w:top w:w="0" w:type="dxa"/>
              <w:bottom w:w="0" w:type="dxa"/>
            </w:tcMar>
            <w:vAlign w:val="center"/>
          </w:tcPr>
          <w:p w14:paraId="238342B9"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4</w:t>
            </w:r>
          </w:p>
        </w:tc>
        <w:tc>
          <w:tcPr>
            <w:tcW w:w="3778" w:type="dxa"/>
            <w:shd w:val="clear" w:color="auto" w:fill="auto"/>
            <w:tcMar>
              <w:top w:w="0" w:type="dxa"/>
              <w:bottom w:w="0" w:type="dxa"/>
            </w:tcMar>
            <w:vAlign w:val="center"/>
          </w:tcPr>
          <w:p w14:paraId="7DA374FE"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 xml:space="preserve">Dividend </w:t>
            </w:r>
          </w:p>
        </w:tc>
        <w:tc>
          <w:tcPr>
            <w:tcW w:w="1522" w:type="dxa"/>
            <w:shd w:val="clear" w:color="auto" w:fill="auto"/>
            <w:tcMar>
              <w:top w:w="0" w:type="dxa"/>
              <w:bottom w:w="0" w:type="dxa"/>
            </w:tcMar>
            <w:vAlign w:val="center"/>
          </w:tcPr>
          <w:p w14:paraId="02CC208D"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w:t>
            </w:r>
          </w:p>
        </w:tc>
        <w:tc>
          <w:tcPr>
            <w:tcW w:w="1546" w:type="dxa"/>
            <w:shd w:val="clear" w:color="auto" w:fill="auto"/>
            <w:tcMar>
              <w:top w:w="0" w:type="dxa"/>
              <w:bottom w:w="0" w:type="dxa"/>
            </w:tcMar>
            <w:vAlign w:val="center"/>
          </w:tcPr>
          <w:p w14:paraId="6C096077"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6</w:t>
            </w:r>
          </w:p>
        </w:tc>
        <w:tc>
          <w:tcPr>
            <w:tcW w:w="1542" w:type="dxa"/>
            <w:shd w:val="clear" w:color="auto" w:fill="auto"/>
            <w:tcMar>
              <w:top w:w="0" w:type="dxa"/>
              <w:bottom w:w="0" w:type="dxa"/>
            </w:tcMar>
            <w:vAlign w:val="center"/>
          </w:tcPr>
          <w:p w14:paraId="3EC6AB9F"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100.0%</w:t>
            </w:r>
          </w:p>
        </w:tc>
      </w:tr>
    </w:tbl>
    <w:p w14:paraId="720A1C84" w14:textId="77777777" w:rsidR="00FF4ABE" w:rsidRPr="00F464AD" w:rsidRDefault="00F464AD">
      <w:pPr>
        <w:pBdr>
          <w:top w:val="nil"/>
          <w:left w:val="nil"/>
          <w:bottom w:val="nil"/>
          <w:right w:val="nil"/>
          <w:between w:val="nil"/>
        </w:pBdr>
        <w:tabs>
          <w:tab w:val="left" w:pos="685"/>
        </w:tabs>
        <w:spacing w:after="120" w:line="360" w:lineRule="auto"/>
        <w:rPr>
          <w:rFonts w:ascii="Arial" w:eastAsia="Arial" w:hAnsi="Arial" w:cs="Arial"/>
          <w:color w:val="010000"/>
          <w:sz w:val="20"/>
          <w:szCs w:val="20"/>
        </w:rPr>
      </w:pPr>
      <w:r w:rsidRPr="00F464AD">
        <w:rPr>
          <w:rFonts w:ascii="Arial" w:hAnsi="Arial" w:cs="Arial"/>
          <w:color w:val="010000"/>
          <w:sz w:val="20"/>
          <w:szCs w:val="20"/>
        </w:rPr>
        <w:t>1.2 Production and business plan for 2024:</w:t>
      </w:r>
    </w:p>
    <w:p w14:paraId="08F4DA89" w14:textId="77777777" w:rsidR="00FF4ABE" w:rsidRPr="00F464AD" w:rsidRDefault="00F464AD">
      <w:pPr>
        <w:pBdr>
          <w:top w:val="nil"/>
          <w:left w:val="nil"/>
          <w:bottom w:val="nil"/>
          <w:right w:val="nil"/>
          <w:between w:val="nil"/>
        </w:pBdr>
        <w:tabs>
          <w:tab w:val="left" w:pos="685"/>
        </w:tabs>
        <w:spacing w:after="120" w:line="360" w:lineRule="auto"/>
        <w:rPr>
          <w:rFonts w:ascii="Arial" w:eastAsia="Arial" w:hAnsi="Arial" w:cs="Arial"/>
          <w:color w:val="010000"/>
          <w:sz w:val="20"/>
          <w:szCs w:val="20"/>
        </w:rPr>
      </w:pPr>
      <w:r w:rsidRPr="00F464AD">
        <w:rPr>
          <w:rFonts w:ascii="Arial" w:hAnsi="Arial" w:cs="Arial"/>
          <w:color w:val="010000"/>
          <w:sz w:val="20"/>
          <w:szCs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
        <w:gridCol w:w="4352"/>
        <w:gridCol w:w="2422"/>
        <w:gridCol w:w="1387"/>
      </w:tblGrid>
      <w:tr w:rsidR="00FF4ABE" w:rsidRPr="00F464AD" w14:paraId="74A2D366" w14:textId="77777777">
        <w:tc>
          <w:tcPr>
            <w:tcW w:w="856" w:type="dxa"/>
            <w:shd w:val="clear" w:color="auto" w:fill="auto"/>
            <w:tcMar>
              <w:top w:w="0" w:type="dxa"/>
              <w:bottom w:w="0" w:type="dxa"/>
            </w:tcMar>
            <w:vAlign w:val="center"/>
          </w:tcPr>
          <w:p w14:paraId="34706082"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No.</w:t>
            </w:r>
          </w:p>
        </w:tc>
        <w:tc>
          <w:tcPr>
            <w:tcW w:w="4352" w:type="dxa"/>
            <w:shd w:val="clear" w:color="auto" w:fill="auto"/>
            <w:tcMar>
              <w:top w:w="0" w:type="dxa"/>
              <w:bottom w:w="0" w:type="dxa"/>
            </w:tcMar>
            <w:vAlign w:val="center"/>
          </w:tcPr>
          <w:p w14:paraId="5633318B"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Target</w:t>
            </w:r>
          </w:p>
        </w:tc>
        <w:tc>
          <w:tcPr>
            <w:tcW w:w="2422" w:type="dxa"/>
            <w:shd w:val="clear" w:color="auto" w:fill="auto"/>
            <w:tcMar>
              <w:top w:w="0" w:type="dxa"/>
              <w:bottom w:w="0" w:type="dxa"/>
            </w:tcMar>
            <w:vAlign w:val="center"/>
          </w:tcPr>
          <w:p w14:paraId="050084EE"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In 2024</w:t>
            </w:r>
          </w:p>
        </w:tc>
        <w:tc>
          <w:tcPr>
            <w:tcW w:w="1387" w:type="dxa"/>
            <w:shd w:val="clear" w:color="auto" w:fill="auto"/>
            <w:tcMar>
              <w:top w:w="0" w:type="dxa"/>
              <w:bottom w:w="0" w:type="dxa"/>
            </w:tcMar>
            <w:vAlign w:val="center"/>
          </w:tcPr>
          <w:p w14:paraId="7FF8535B"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 compared to results in 2023</w:t>
            </w:r>
          </w:p>
        </w:tc>
      </w:tr>
      <w:tr w:rsidR="00FF4ABE" w:rsidRPr="00F464AD" w14:paraId="6BCD7330" w14:textId="77777777">
        <w:tc>
          <w:tcPr>
            <w:tcW w:w="856" w:type="dxa"/>
            <w:shd w:val="clear" w:color="auto" w:fill="auto"/>
            <w:tcMar>
              <w:top w:w="0" w:type="dxa"/>
              <w:bottom w:w="0" w:type="dxa"/>
            </w:tcMar>
            <w:vAlign w:val="center"/>
          </w:tcPr>
          <w:p w14:paraId="2594EE50"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w:t>
            </w:r>
          </w:p>
        </w:tc>
        <w:tc>
          <w:tcPr>
            <w:tcW w:w="4352" w:type="dxa"/>
            <w:shd w:val="clear" w:color="auto" w:fill="auto"/>
            <w:tcMar>
              <w:top w:w="0" w:type="dxa"/>
              <w:bottom w:w="0" w:type="dxa"/>
            </w:tcMar>
            <w:vAlign w:val="center"/>
          </w:tcPr>
          <w:p w14:paraId="5D872916"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Total revenue</w:t>
            </w:r>
          </w:p>
        </w:tc>
        <w:tc>
          <w:tcPr>
            <w:tcW w:w="2422" w:type="dxa"/>
            <w:shd w:val="clear" w:color="auto" w:fill="auto"/>
            <w:tcMar>
              <w:top w:w="0" w:type="dxa"/>
              <w:bottom w:w="0" w:type="dxa"/>
            </w:tcMar>
            <w:vAlign w:val="center"/>
          </w:tcPr>
          <w:p w14:paraId="25400969"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600,000,000,000</w:t>
            </w:r>
          </w:p>
        </w:tc>
        <w:tc>
          <w:tcPr>
            <w:tcW w:w="1387" w:type="dxa"/>
            <w:shd w:val="clear" w:color="auto" w:fill="auto"/>
            <w:tcMar>
              <w:top w:w="0" w:type="dxa"/>
              <w:bottom w:w="0" w:type="dxa"/>
            </w:tcMar>
            <w:vAlign w:val="center"/>
          </w:tcPr>
          <w:p w14:paraId="24B5C183"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160.3%</w:t>
            </w:r>
          </w:p>
        </w:tc>
      </w:tr>
      <w:tr w:rsidR="00FF4ABE" w:rsidRPr="00F464AD" w14:paraId="242B469F" w14:textId="77777777">
        <w:tc>
          <w:tcPr>
            <w:tcW w:w="856" w:type="dxa"/>
            <w:shd w:val="clear" w:color="auto" w:fill="auto"/>
            <w:tcMar>
              <w:top w:w="0" w:type="dxa"/>
              <w:bottom w:w="0" w:type="dxa"/>
            </w:tcMar>
            <w:vAlign w:val="center"/>
          </w:tcPr>
          <w:p w14:paraId="43C8E5E8"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2</w:t>
            </w:r>
          </w:p>
        </w:tc>
        <w:tc>
          <w:tcPr>
            <w:tcW w:w="4352" w:type="dxa"/>
            <w:shd w:val="clear" w:color="auto" w:fill="auto"/>
            <w:tcMar>
              <w:top w:w="0" w:type="dxa"/>
              <w:bottom w:w="0" w:type="dxa"/>
            </w:tcMar>
            <w:vAlign w:val="center"/>
          </w:tcPr>
          <w:p w14:paraId="0D28DDA9"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Profit before tax</w:t>
            </w:r>
          </w:p>
        </w:tc>
        <w:tc>
          <w:tcPr>
            <w:tcW w:w="2422" w:type="dxa"/>
            <w:shd w:val="clear" w:color="auto" w:fill="auto"/>
            <w:tcMar>
              <w:top w:w="0" w:type="dxa"/>
              <w:bottom w:w="0" w:type="dxa"/>
            </w:tcMar>
            <w:vAlign w:val="center"/>
          </w:tcPr>
          <w:p w14:paraId="73CC50D7"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14,600,000,000</w:t>
            </w:r>
          </w:p>
        </w:tc>
        <w:tc>
          <w:tcPr>
            <w:tcW w:w="1387" w:type="dxa"/>
            <w:shd w:val="clear" w:color="auto" w:fill="auto"/>
            <w:tcMar>
              <w:top w:w="0" w:type="dxa"/>
              <w:bottom w:w="0" w:type="dxa"/>
            </w:tcMar>
            <w:vAlign w:val="center"/>
          </w:tcPr>
          <w:p w14:paraId="00464E02"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124.3%</w:t>
            </w:r>
          </w:p>
        </w:tc>
      </w:tr>
      <w:tr w:rsidR="00FF4ABE" w:rsidRPr="00F464AD" w14:paraId="1E46BD8A" w14:textId="77777777">
        <w:tc>
          <w:tcPr>
            <w:tcW w:w="856" w:type="dxa"/>
            <w:shd w:val="clear" w:color="auto" w:fill="auto"/>
            <w:tcMar>
              <w:top w:w="0" w:type="dxa"/>
              <w:bottom w:w="0" w:type="dxa"/>
            </w:tcMar>
            <w:vAlign w:val="center"/>
          </w:tcPr>
          <w:p w14:paraId="2B40F577"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3</w:t>
            </w:r>
          </w:p>
        </w:tc>
        <w:tc>
          <w:tcPr>
            <w:tcW w:w="4352" w:type="dxa"/>
            <w:shd w:val="clear" w:color="auto" w:fill="auto"/>
            <w:tcMar>
              <w:top w:w="0" w:type="dxa"/>
              <w:bottom w:w="0" w:type="dxa"/>
            </w:tcMar>
            <w:vAlign w:val="center"/>
          </w:tcPr>
          <w:p w14:paraId="7615A4D4"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Profit after tax</w:t>
            </w:r>
          </w:p>
        </w:tc>
        <w:tc>
          <w:tcPr>
            <w:tcW w:w="2422" w:type="dxa"/>
            <w:shd w:val="clear" w:color="auto" w:fill="auto"/>
            <w:tcMar>
              <w:top w:w="0" w:type="dxa"/>
              <w:bottom w:w="0" w:type="dxa"/>
            </w:tcMar>
            <w:vAlign w:val="center"/>
          </w:tcPr>
          <w:p w14:paraId="3761479C"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11,780,000,000</w:t>
            </w:r>
          </w:p>
        </w:tc>
        <w:tc>
          <w:tcPr>
            <w:tcW w:w="1387" w:type="dxa"/>
            <w:shd w:val="clear" w:color="auto" w:fill="auto"/>
            <w:tcMar>
              <w:top w:w="0" w:type="dxa"/>
              <w:bottom w:w="0" w:type="dxa"/>
            </w:tcMar>
            <w:vAlign w:val="center"/>
          </w:tcPr>
          <w:p w14:paraId="2A050969"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125.7%</w:t>
            </w:r>
          </w:p>
        </w:tc>
      </w:tr>
      <w:tr w:rsidR="00FF4ABE" w:rsidRPr="00F464AD" w14:paraId="1C13E9F2" w14:textId="77777777">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E21A0C"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4</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0DF9B3"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Dividend</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3142D7"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6%</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DDDA7E"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100.0%</w:t>
            </w:r>
          </w:p>
        </w:tc>
      </w:tr>
    </w:tbl>
    <w:p w14:paraId="4302980B" w14:textId="1C050702"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‎‎Article 2. APPROVE THE A</w:t>
      </w:r>
      <w:r w:rsidR="00F63578">
        <w:rPr>
          <w:rFonts w:ascii="Arial" w:hAnsi="Arial" w:cs="Arial"/>
          <w:color w:val="010000"/>
          <w:sz w:val="20"/>
          <w:szCs w:val="20"/>
        </w:rPr>
        <w:t xml:space="preserve">UDITED FINANCIAL STATEMENTS </w:t>
      </w:r>
      <w:r w:rsidRPr="00F464AD">
        <w:rPr>
          <w:rFonts w:ascii="Arial" w:hAnsi="Arial" w:cs="Arial"/>
          <w:color w:val="010000"/>
          <w:sz w:val="20"/>
          <w:szCs w:val="20"/>
        </w:rPr>
        <w:t>2023</w:t>
      </w:r>
    </w:p>
    <w:p w14:paraId="558FC180" w14:textId="77777777"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The Financial Statements 2023 were audited by the Hanoi Branch of A&amp;C Auditing and Consulting Co., Ltd. in accordance with the prescribed standards and have been disclosed by Viet Nam Construction Joint Stock Company No 12 as regulated, and simultaneously posted on the website: </w:t>
      </w:r>
      <w:r w:rsidRPr="00F464AD">
        <w:rPr>
          <w:rFonts w:ascii="Arial" w:hAnsi="Arial" w:cs="Arial"/>
          <w:sz w:val="20"/>
          <w:szCs w:val="20"/>
        </w:rPr>
        <w:t>www.vinaconex12.com.vn including:</w:t>
      </w:r>
    </w:p>
    <w:p w14:paraId="06FF2DBC" w14:textId="77777777" w:rsidR="00FF4ABE" w:rsidRPr="00F464AD" w:rsidRDefault="00F464AD" w:rsidP="00F63578">
      <w:pPr>
        <w:numPr>
          <w:ilvl w:val="0"/>
          <w:numId w:val="3"/>
        </w:numPr>
        <w:pBdr>
          <w:top w:val="nil"/>
          <w:left w:val="nil"/>
          <w:bottom w:val="nil"/>
          <w:right w:val="nil"/>
          <w:between w:val="nil"/>
        </w:pBdr>
        <w:tabs>
          <w:tab w:val="left" w:pos="1141"/>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Report from the auditor;</w:t>
      </w:r>
    </w:p>
    <w:p w14:paraId="068A3DCC" w14:textId="77777777" w:rsidR="00FF4ABE" w:rsidRPr="00F464AD" w:rsidRDefault="00F464AD" w:rsidP="00F63578">
      <w:pPr>
        <w:numPr>
          <w:ilvl w:val="0"/>
          <w:numId w:val="3"/>
        </w:numPr>
        <w:pBdr>
          <w:top w:val="nil"/>
          <w:left w:val="nil"/>
          <w:bottom w:val="nil"/>
          <w:right w:val="nil"/>
          <w:between w:val="nil"/>
        </w:pBdr>
        <w:tabs>
          <w:tab w:val="left" w:pos="1141"/>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Balance sheet </w:t>
      </w:r>
      <w:proofErr w:type="gramStart"/>
      <w:r w:rsidRPr="00F464AD">
        <w:rPr>
          <w:rFonts w:ascii="Arial" w:hAnsi="Arial" w:cs="Arial"/>
          <w:color w:val="010000"/>
          <w:sz w:val="20"/>
          <w:szCs w:val="20"/>
        </w:rPr>
        <w:t>on  December</w:t>
      </w:r>
      <w:proofErr w:type="gramEnd"/>
      <w:r w:rsidRPr="00F464AD">
        <w:rPr>
          <w:rFonts w:ascii="Arial" w:hAnsi="Arial" w:cs="Arial"/>
          <w:color w:val="010000"/>
          <w:sz w:val="20"/>
          <w:szCs w:val="20"/>
        </w:rPr>
        <w:t xml:space="preserve"> 31, 2023</w:t>
      </w:r>
    </w:p>
    <w:p w14:paraId="00716CF1" w14:textId="77777777" w:rsidR="00FF4ABE" w:rsidRPr="00F464AD" w:rsidRDefault="00F464AD" w:rsidP="00F63578">
      <w:pPr>
        <w:numPr>
          <w:ilvl w:val="0"/>
          <w:numId w:val="3"/>
        </w:numPr>
        <w:pBdr>
          <w:top w:val="nil"/>
          <w:left w:val="nil"/>
          <w:bottom w:val="nil"/>
          <w:right w:val="nil"/>
          <w:between w:val="nil"/>
        </w:pBdr>
        <w:tabs>
          <w:tab w:val="left" w:pos="1141"/>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Report on business performance in 2023:</w:t>
      </w:r>
    </w:p>
    <w:p w14:paraId="1A6D0503" w14:textId="77777777" w:rsidR="00FF4ABE" w:rsidRPr="00F464AD" w:rsidRDefault="00F464AD" w:rsidP="00F63578">
      <w:pPr>
        <w:numPr>
          <w:ilvl w:val="0"/>
          <w:numId w:val="3"/>
        </w:numPr>
        <w:pBdr>
          <w:top w:val="nil"/>
          <w:left w:val="nil"/>
          <w:bottom w:val="nil"/>
          <w:right w:val="nil"/>
          <w:between w:val="nil"/>
        </w:pBdr>
        <w:tabs>
          <w:tab w:val="left" w:pos="1141"/>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Cash flow statement;</w:t>
      </w:r>
    </w:p>
    <w:p w14:paraId="6366050D" w14:textId="77777777" w:rsidR="00FF4ABE" w:rsidRPr="00F464AD" w:rsidRDefault="00F464AD" w:rsidP="00F63578">
      <w:pPr>
        <w:numPr>
          <w:ilvl w:val="0"/>
          <w:numId w:val="3"/>
        </w:numPr>
        <w:pBdr>
          <w:top w:val="nil"/>
          <w:left w:val="nil"/>
          <w:bottom w:val="nil"/>
          <w:right w:val="nil"/>
          <w:between w:val="nil"/>
        </w:pBdr>
        <w:tabs>
          <w:tab w:val="left" w:pos="1141"/>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Financial Statement Footnotes;</w:t>
      </w:r>
    </w:p>
    <w:p w14:paraId="5BDCBB92" w14:textId="77777777"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Article 3. APPROVE THE REPORT OF THE SUPERVISORY BOARD</w:t>
      </w:r>
    </w:p>
    <w:p w14:paraId="3E14AB27" w14:textId="77777777"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lastRenderedPageBreak/>
        <w:t>Article 4. APPROVE THE SELECTION OF THE AUDIT COMPANY FOR THE FINANCIAL STATEMENTS 2024</w:t>
      </w:r>
    </w:p>
    <w:p w14:paraId="39F6CC36" w14:textId="187BE0A6"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The </w:t>
      </w:r>
      <w:r w:rsidR="00F63578">
        <w:rPr>
          <w:rFonts w:ascii="Arial" w:hAnsi="Arial" w:cs="Arial"/>
          <w:color w:val="010000"/>
          <w:sz w:val="20"/>
          <w:szCs w:val="20"/>
        </w:rPr>
        <w:t>General Meeting</w:t>
      </w:r>
      <w:r w:rsidRPr="00F464AD">
        <w:rPr>
          <w:rFonts w:ascii="Arial" w:hAnsi="Arial" w:cs="Arial"/>
          <w:color w:val="010000"/>
          <w:sz w:val="20"/>
          <w:szCs w:val="20"/>
        </w:rPr>
        <w:t xml:space="preserve"> authorizes the Board of Directors to decide on selecting a company from the List of approved audit companies for entities with public interest in the securities sector in 2024 to conduct the review of the semi-annual Financial Statements and audit of the annual Financial Statements.</w:t>
      </w:r>
    </w:p>
    <w:p w14:paraId="4C0513AD" w14:textId="77777777"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Article 5. APPROVE THE EVALUATION REPORT OF THE BOARD OF DIRECTORS</w:t>
      </w:r>
    </w:p>
    <w:p w14:paraId="79D0A870" w14:textId="77777777"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‎‎Article 6. APPROVE THE PLAN FOR PROFIT DISTRIBUTION, DIVIDENDS FOR 2023 AND APPROPRIATION TO FUNDS</w:t>
      </w:r>
    </w:p>
    <w:p w14:paraId="54DAD3A9" w14:textId="590F73C9"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The </w:t>
      </w:r>
      <w:r w:rsidR="00F63578">
        <w:rPr>
          <w:rFonts w:ascii="Arial" w:hAnsi="Arial" w:cs="Arial"/>
          <w:color w:val="010000"/>
          <w:sz w:val="20"/>
          <w:szCs w:val="20"/>
        </w:rPr>
        <w:t>General Meeting</w:t>
      </w:r>
      <w:r w:rsidRPr="00F464AD">
        <w:rPr>
          <w:rFonts w:ascii="Arial" w:hAnsi="Arial" w:cs="Arial"/>
          <w:color w:val="010000"/>
          <w:sz w:val="20"/>
          <w:szCs w:val="20"/>
        </w:rPr>
        <w:t xml:space="preserve"> approves the plan for distributing profits in 2023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
        <w:gridCol w:w="6215"/>
        <w:gridCol w:w="1924"/>
      </w:tblGrid>
      <w:tr w:rsidR="00FF4ABE" w:rsidRPr="00F464AD" w14:paraId="54C3B57E" w14:textId="77777777">
        <w:tc>
          <w:tcPr>
            <w:tcW w:w="878" w:type="dxa"/>
            <w:shd w:val="clear" w:color="auto" w:fill="auto"/>
            <w:tcMar>
              <w:top w:w="0" w:type="dxa"/>
              <w:bottom w:w="0" w:type="dxa"/>
            </w:tcMar>
            <w:vAlign w:val="center"/>
          </w:tcPr>
          <w:p w14:paraId="69F6E7B6"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No.</w:t>
            </w:r>
          </w:p>
        </w:tc>
        <w:tc>
          <w:tcPr>
            <w:tcW w:w="6215" w:type="dxa"/>
            <w:shd w:val="clear" w:color="auto" w:fill="auto"/>
            <w:tcMar>
              <w:top w:w="0" w:type="dxa"/>
              <w:bottom w:w="0" w:type="dxa"/>
            </w:tcMar>
            <w:vAlign w:val="center"/>
          </w:tcPr>
          <w:p w14:paraId="402431D8"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Target</w:t>
            </w:r>
          </w:p>
        </w:tc>
        <w:tc>
          <w:tcPr>
            <w:tcW w:w="1924" w:type="dxa"/>
            <w:shd w:val="clear" w:color="auto" w:fill="auto"/>
            <w:tcMar>
              <w:top w:w="0" w:type="dxa"/>
              <w:bottom w:w="0" w:type="dxa"/>
            </w:tcMar>
            <w:vAlign w:val="center"/>
          </w:tcPr>
          <w:p w14:paraId="4799078E"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Amount</w:t>
            </w:r>
          </w:p>
        </w:tc>
      </w:tr>
      <w:tr w:rsidR="00FF4ABE" w:rsidRPr="00F464AD" w14:paraId="2C9F7A14" w14:textId="77777777">
        <w:tc>
          <w:tcPr>
            <w:tcW w:w="878" w:type="dxa"/>
            <w:shd w:val="clear" w:color="auto" w:fill="auto"/>
            <w:tcMar>
              <w:top w:w="0" w:type="dxa"/>
              <w:bottom w:w="0" w:type="dxa"/>
            </w:tcMar>
            <w:vAlign w:val="center"/>
          </w:tcPr>
          <w:p w14:paraId="7316739E"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w:t>
            </w:r>
          </w:p>
        </w:tc>
        <w:tc>
          <w:tcPr>
            <w:tcW w:w="6215" w:type="dxa"/>
            <w:shd w:val="clear" w:color="auto" w:fill="auto"/>
            <w:tcMar>
              <w:top w:w="0" w:type="dxa"/>
              <w:bottom w:w="0" w:type="dxa"/>
            </w:tcMar>
            <w:vAlign w:val="center"/>
          </w:tcPr>
          <w:p w14:paraId="3F5E743A"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Profit after tax</w:t>
            </w:r>
          </w:p>
        </w:tc>
        <w:tc>
          <w:tcPr>
            <w:tcW w:w="1924" w:type="dxa"/>
            <w:shd w:val="clear" w:color="auto" w:fill="auto"/>
            <w:tcMar>
              <w:top w:w="0" w:type="dxa"/>
              <w:bottom w:w="0" w:type="dxa"/>
            </w:tcMar>
            <w:vAlign w:val="center"/>
          </w:tcPr>
          <w:p w14:paraId="259DAA6A"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9,367,847,865</w:t>
            </w:r>
          </w:p>
        </w:tc>
      </w:tr>
      <w:tr w:rsidR="00FF4ABE" w:rsidRPr="00F464AD" w14:paraId="10305054" w14:textId="77777777">
        <w:tc>
          <w:tcPr>
            <w:tcW w:w="878" w:type="dxa"/>
            <w:shd w:val="clear" w:color="auto" w:fill="auto"/>
            <w:tcMar>
              <w:top w:w="0" w:type="dxa"/>
              <w:bottom w:w="0" w:type="dxa"/>
            </w:tcMar>
            <w:vAlign w:val="center"/>
          </w:tcPr>
          <w:p w14:paraId="7D1B155F"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2</w:t>
            </w:r>
          </w:p>
        </w:tc>
        <w:tc>
          <w:tcPr>
            <w:tcW w:w="6215" w:type="dxa"/>
            <w:shd w:val="clear" w:color="auto" w:fill="auto"/>
            <w:tcMar>
              <w:top w:w="0" w:type="dxa"/>
              <w:bottom w:w="0" w:type="dxa"/>
            </w:tcMar>
            <w:vAlign w:val="center"/>
          </w:tcPr>
          <w:p w14:paraId="130FE1FD"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Deductions from profit after tax</w:t>
            </w:r>
          </w:p>
        </w:tc>
        <w:tc>
          <w:tcPr>
            <w:tcW w:w="1924" w:type="dxa"/>
            <w:shd w:val="clear" w:color="auto" w:fill="auto"/>
            <w:tcMar>
              <w:top w:w="0" w:type="dxa"/>
              <w:bottom w:w="0" w:type="dxa"/>
            </w:tcMar>
            <w:vAlign w:val="center"/>
          </w:tcPr>
          <w:p w14:paraId="635D5FC7"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0</w:t>
            </w:r>
          </w:p>
        </w:tc>
      </w:tr>
      <w:tr w:rsidR="00FF4ABE" w:rsidRPr="00F464AD" w14:paraId="583627EB" w14:textId="77777777">
        <w:tc>
          <w:tcPr>
            <w:tcW w:w="878" w:type="dxa"/>
            <w:shd w:val="clear" w:color="auto" w:fill="auto"/>
            <w:tcMar>
              <w:top w:w="0" w:type="dxa"/>
              <w:bottom w:w="0" w:type="dxa"/>
            </w:tcMar>
            <w:vAlign w:val="center"/>
          </w:tcPr>
          <w:p w14:paraId="288663BC"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3</w:t>
            </w:r>
          </w:p>
        </w:tc>
        <w:tc>
          <w:tcPr>
            <w:tcW w:w="6215" w:type="dxa"/>
            <w:shd w:val="clear" w:color="auto" w:fill="auto"/>
            <w:tcMar>
              <w:top w:w="0" w:type="dxa"/>
              <w:bottom w:w="0" w:type="dxa"/>
            </w:tcMar>
            <w:vAlign w:val="center"/>
          </w:tcPr>
          <w:p w14:paraId="46ACE622"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 xml:space="preserve">Profit after tax used for distribution (3) = (1) - (2) </w:t>
            </w:r>
          </w:p>
        </w:tc>
        <w:tc>
          <w:tcPr>
            <w:tcW w:w="1924" w:type="dxa"/>
            <w:shd w:val="clear" w:color="auto" w:fill="auto"/>
            <w:tcMar>
              <w:top w:w="0" w:type="dxa"/>
              <w:bottom w:w="0" w:type="dxa"/>
            </w:tcMar>
            <w:vAlign w:val="center"/>
          </w:tcPr>
          <w:p w14:paraId="72058116"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9,367,847,865</w:t>
            </w:r>
          </w:p>
        </w:tc>
      </w:tr>
      <w:tr w:rsidR="00FF4ABE" w:rsidRPr="00F464AD" w14:paraId="744961B9" w14:textId="77777777">
        <w:tc>
          <w:tcPr>
            <w:tcW w:w="878" w:type="dxa"/>
            <w:shd w:val="clear" w:color="auto" w:fill="auto"/>
            <w:tcMar>
              <w:top w:w="0" w:type="dxa"/>
              <w:bottom w:w="0" w:type="dxa"/>
            </w:tcMar>
            <w:vAlign w:val="center"/>
          </w:tcPr>
          <w:p w14:paraId="30A65730"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4</w:t>
            </w:r>
          </w:p>
        </w:tc>
        <w:tc>
          <w:tcPr>
            <w:tcW w:w="6215" w:type="dxa"/>
            <w:shd w:val="clear" w:color="auto" w:fill="auto"/>
            <w:tcMar>
              <w:top w:w="0" w:type="dxa"/>
              <w:bottom w:w="0" w:type="dxa"/>
            </w:tcMar>
            <w:vAlign w:val="center"/>
          </w:tcPr>
          <w:p w14:paraId="786B86BB"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Undistributed profit after tax accumulated as of the end of previous period</w:t>
            </w:r>
          </w:p>
        </w:tc>
        <w:tc>
          <w:tcPr>
            <w:tcW w:w="1924" w:type="dxa"/>
            <w:shd w:val="clear" w:color="auto" w:fill="auto"/>
            <w:tcMar>
              <w:top w:w="0" w:type="dxa"/>
              <w:bottom w:w="0" w:type="dxa"/>
            </w:tcMar>
            <w:vAlign w:val="center"/>
          </w:tcPr>
          <w:p w14:paraId="501C99E9"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172,511,543</w:t>
            </w:r>
          </w:p>
        </w:tc>
      </w:tr>
      <w:tr w:rsidR="00FF4ABE" w:rsidRPr="00F464AD" w14:paraId="79D3CB85" w14:textId="77777777">
        <w:tc>
          <w:tcPr>
            <w:tcW w:w="878" w:type="dxa"/>
            <w:shd w:val="clear" w:color="auto" w:fill="auto"/>
            <w:tcMar>
              <w:top w:w="0" w:type="dxa"/>
              <w:bottom w:w="0" w:type="dxa"/>
            </w:tcMar>
            <w:vAlign w:val="center"/>
          </w:tcPr>
          <w:p w14:paraId="3E36ED7E"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5</w:t>
            </w:r>
          </w:p>
        </w:tc>
        <w:tc>
          <w:tcPr>
            <w:tcW w:w="6215" w:type="dxa"/>
            <w:shd w:val="clear" w:color="auto" w:fill="auto"/>
            <w:tcMar>
              <w:top w:w="0" w:type="dxa"/>
              <w:bottom w:w="0" w:type="dxa"/>
            </w:tcMar>
            <w:vAlign w:val="center"/>
          </w:tcPr>
          <w:p w14:paraId="5C41DB34"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Total profit to be distributed (5) = (3) + (4)</w:t>
            </w:r>
          </w:p>
        </w:tc>
        <w:tc>
          <w:tcPr>
            <w:tcW w:w="1924" w:type="dxa"/>
            <w:shd w:val="clear" w:color="auto" w:fill="auto"/>
            <w:tcMar>
              <w:top w:w="0" w:type="dxa"/>
              <w:bottom w:w="0" w:type="dxa"/>
            </w:tcMar>
            <w:vAlign w:val="center"/>
          </w:tcPr>
          <w:p w14:paraId="65835153"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9,540,359,408</w:t>
            </w:r>
          </w:p>
        </w:tc>
      </w:tr>
      <w:tr w:rsidR="00FF4ABE" w:rsidRPr="00F464AD" w14:paraId="0BB3692C" w14:textId="77777777">
        <w:tc>
          <w:tcPr>
            <w:tcW w:w="878" w:type="dxa"/>
            <w:shd w:val="clear" w:color="auto" w:fill="auto"/>
            <w:tcMar>
              <w:top w:w="0" w:type="dxa"/>
              <w:bottom w:w="0" w:type="dxa"/>
            </w:tcMar>
            <w:vAlign w:val="center"/>
          </w:tcPr>
          <w:p w14:paraId="4D339C82"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6</w:t>
            </w:r>
          </w:p>
        </w:tc>
        <w:tc>
          <w:tcPr>
            <w:tcW w:w="6215" w:type="dxa"/>
            <w:shd w:val="clear" w:color="auto" w:fill="auto"/>
            <w:tcMar>
              <w:top w:w="0" w:type="dxa"/>
              <w:bottom w:w="0" w:type="dxa"/>
            </w:tcMar>
            <w:vAlign w:val="center"/>
          </w:tcPr>
          <w:p w14:paraId="50081658"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Profit distribution:</w:t>
            </w:r>
          </w:p>
        </w:tc>
        <w:tc>
          <w:tcPr>
            <w:tcW w:w="1924" w:type="dxa"/>
            <w:shd w:val="clear" w:color="auto" w:fill="auto"/>
            <w:tcMar>
              <w:top w:w="0" w:type="dxa"/>
              <w:bottom w:w="0" w:type="dxa"/>
            </w:tcMar>
            <w:vAlign w:val="center"/>
          </w:tcPr>
          <w:p w14:paraId="614E161E"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8,540,359,408</w:t>
            </w:r>
          </w:p>
        </w:tc>
      </w:tr>
      <w:tr w:rsidR="00FF4ABE" w:rsidRPr="00F464AD" w14:paraId="2255FEA5" w14:textId="77777777">
        <w:tc>
          <w:tcPr>
            <w:tcW w:w="878" w:type="dxa"/>
            <w:shd w:val="clear" w:color="auto" w:fill="auto"/>
            <w:tcMar>
              <w:top w:w="0" w:type="dxa"/>
              <w:bottom w:w="0" w:type="dxa"/>
            </w:tcMar>
            <w:vAlign w:val="center"/>
          </w:tcPr>
          <w:p w14:paraId="7CD68284"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6.1</w:t>
            </w:r>
          </w:p>
        </w:tc>
        <w:tc>
          <w:tcPr>
            <w:tcW w:w="6215" w:type="dxa"/>
            <w:shd w:val="clear" w:color="auto" w:fill="auto"/>
            <w:tcMar>
              <w:top w:w="0" w:type="dxa"/>
              <w:bottom w:w="0" w:type="dxa"/>
            </w:tcMar>
            <w:vAlign w:val="center"/>
          </w:tcPr>
          <w:p w14:paraId="4C59F15F"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Dividend payment for 2023 (6%)</w:t>
            </w:r>
          </w:p>
        </w:tc>
        <w:tc>
          <w:tcPr>
            <w:tcW w:w="1924" w:type="dxa"/>
            <w:shd w:val="clear" w:color="auto" w:fill="auto"/>
            <w:tcMar>
              <w:top w:w="0" w:type="dxa"/>
              <w:bottom w:w="0" w:type="dxa"/>
            </w:tcMar>
            <w:vAlign w:val="center"/>
          </w:tcPr>
          <w:p w14:paraId="318DA740"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6,981,600,000</w:t>
            </w:r>
          </w:p>
        </w:tc>
      </w:tr>
      <w:tr w:rsidR="00FF4ABE" w:rsidRPr="00F464AD" w14:paraId="5763DE89" w14:textId="77777777">
        <w:tc>
          <w:tcPr>
            <w:tcW w:w="878" w:type="dxa"/>
            <w:shd w:val="clear" w:color="auto" w:fill="auto"/>
            <w:tcMar>
              <w:top w:w="0" w:type="dxa"/>
              <w:bottom w:w="0" w:type="dxa"/>
            </w:tcMar>
            <w:vAlign w:val="center"/>
          </w:tcPr>
          <w:p w14:paraId="5816C2DA"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6.2</w:t>
            </w:r>
          </w:p>
        </w:tc>
        <w:tc>
          <w:tcPr>
            <w:tcW w:w="6215" w:type="dxa"/>
            <w:shd w:val="clear" w:color="auto" w:fill="auto"/>
            <w:tcMar>
              <w:top w:w="0" w:type="dxa"/>
              <w:bottom w:w="0" w:type="dxa"/>
            </w:tcMar>
            <w:vAlign w:val="center"/>
          </w:tcPr>
          <w:p w14:paraId="7C3E06E6"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Remuneration of the Board of Directors and the Supervisory Board</w:t>
            </w:r>
          </w:p>
        </w:tc>
        <w:tc>
          <w:tcPr>
            <w:tcW w:w="1924" w:type="dxa"/>
            <w:shd w:val="clear" w:color="auto" w:fill="auto"/>
            <w:tcMar>
              <w:top w:w="0" w:type="dxa"/>
              <w:bottom w:w="0" w:type="dxa"/>
            </w:tcMar>
            <w:vAlign w:val="center"/>
          </w:tcPr>
          <w:p w14:paraId="729BA05C"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0</w:t>
            </w:r>
          </w:p>
        </w:tc>
      </w:tr>
      <w:tr w:rsidR="00FF4ABE" w:rsidRPr="00F464AD" w14:paraId="5E3537EA" w14:textId="77777777">
        <w:tc>
          <w:tcPr>
            <w:tcW w:w="878" w:type="dxa"/>
            <w:shd w:val="clear" w:color="auto" w:fill="auto"/>
            <w:tcMar>
              <w:top w:w="0" w:type="dxa"/>
              <w:bottom w:w="0" w:type="dxa"/>
            </w:tcMar>
            <w:vAlign w:val="center"/>
          </w:tcPr>
          <w:p w14:paraId="2D5D0403"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6.3</w:t>
            </w:r>
          </w:p>
        </w:tc>
        <w:tc>
          <w:tcPr>
            <w:tcW w:w="6215" w:type="dxa"/>
            <w:shd w:val="clear" w:color="auto" w:fill="auto"/>
            <w:tcMar>
              <w:top w:w="0" w:type="dxa"/>
              <w:bottom w:w="0" w:type="dxa"/>
            </w:tcMar>
            <w:vAlign w:val="center"/>
          </w:tcPr>
          <w:p w14:paraId="646FC38D"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Appropriation for bonus and welfare funds</w:t>
            </w:r>
          </w:p>
        </w:tc>
        <w:tc>
          <w:tcPr>
            <w:tcW w:w="1924" w:type="dxa"/>
            <w:shd w:val="clear" w:color="auto" w:fill="auto"/>
            <w:tcMar>
              <w:top w:w="0" w:type="dxa"/>
              <w:bottom w:w="0" w:type="dxa"/>
            </w:tcMar>
            <w:vAlign w:val="center"/>
          </w:tcPr>
          <w:p w14:paraId="2EADD79C"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1,558,759,408</w:t>
            </w:r>
          </w:p>
        </w:tc>
      </w:tr>
      <w:tr w:rsidR="00FF4ABE" w:rsidRPr="00F464AD" w14:paraId="7EFA84E4" w14:textId="77777777">
        <w:tc>
          <w:tcPr>
            <w:tcW w:w="878" w:type="dxa"/>
            <w:shd w:val="clear" w:color="auto" w:fill="auto"/>
            <w:tcMar>
              <w:top w:w="0" w:type="dxa"/>
              <w:bottom w:w="0" w:type="dxa"/>
            </w:tcMar>
            <w:vAlign w:val="center"/>
          </w:tcPr>
          <w:p w14:paraId="3AAEE759"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7</w:t>
            </w:r>
          </w:p>
        </w:tc>
        <w:tc>
          <w:tcPr>
            <w:tcW w:w="6215" w:type="dxa"/>
            <w:shd w:val="clear" w:color="auto" w:fill="auto"/>
            <w:tcMar>
              <w:top w:w="0" w:type="dxa"/>
              <w:bottom w:w="0" w:type="dxa"/>
            </w:tcMar>
            <w:vAlign w:val="center"/>
          </w:tcPr>
          <w:p w14:paraId="62EE04EA"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Remaining undistributed profit (7) = (5) - (6)</w:t>
            </w:r>
          </w:p>
        </w:tc>
        <w:tc>
          <w:tcPr>
            <w:tcW w:w="1924" w:type="dxa"/>
            <w:shd w:val="clear" w:color="auto" w:fill="auto"/>
            <w:tcMar>
              <w:top w:w="0" w:type="dxa"/>
              <w:bottom w:w="0" w:type="dxa"/>
            </w:tcMar>
            <w:vAlign w:val="center"/>
          </w:tcPr>
          <w:p w14:paraId="603F7F10" w14:textId="77777777" w:rsidR="00FF4ABE" w:rsidRPr="00F464AD" w:rsidRDefault="00F464AD">
            <w:pPr>
              <w:pBdr>
                <w:top w:val="nil"/>
                <w:left w:val="nil"/>
                <w:bottom w:val="nil"/>
                <w:right w:val="nil"/>
                <w:between w:val="nil"/>
              </w:pBdr>
              <w:spacing w:after="120" w:line="360" w:lineRule="auto"/>
              <w:rPr>
                <w:rFonts w:ascii="Arial" w:eastAsia="Arial" w:hAnsi="Arial" w:cs="Arial"/>
                <w:color w:val="010000"/>
                <w:sz w:val="20"/>
                <w:szCs w:val="20"/>
              </w:rPr>
            </w:pPr>
            <w:r w:rsidRPr="00F464AD">
              <w:rPr>
                <w:rFonts w:ascii="Arial" w:hAnsi="Arial" w:cs="Arial"/>
                <w:color w:val="010000"/>
                <w:sz w:val="20"/>
                <w:szCs w:val="20"/>
              </w:rPr>
              <w:t xml:space="preserve">1,000,000,000 </w:t>
            </w:r>
          </w:p>
        </w:tc>
      </w:tr>
    </w:tbl>
    <w:p w14:paraId="6BC9173C" w14:textId="48B379B0"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The </w:t>
      </w:r>
      <w:r w:rsidR="00F63578">
        <w:rPr>
          <w:rFonts w:ascii="Arial" w:hAnsi="Arial" w:cs="Arial"/>
          <w:color w:val="010000"/>
          <w:sz w:val="20"/>
          <w:szCs w:val="20"/>
        </w:rPr>
        <w:t>General Meeting</w:t>
      </w:r>
      <w:r w:rsidRPr="00F464AD">
        <w:rPr>
          <w:rFonts w:ascii="Arial" w:hAnsi="Arial" w:cs="Arial"/>
          <w:color w:val="010000"/>
          <w:sz w:val="20"/>
          <w:szCs w:val="20"/>
        </w:rPr>
        <w:t xml:space="preserve"> assigns the Board of Directors to select the specific time</w:t>
      </w:r>
      <w:r w:rsidR="00F63578">
        <w:rPr>
          <w:rFonts w:ascii="Arial" w:hAnsi="Arial" w:cs="Arial"/>
          <w:color w:val="010000"/>
          <w:sz w:val="20"/>
          <w:szCs w:val="20"/>
        </w:rPr>
        <w:t xml:space="preserve"> to implement and complete the </w:t>
      </w:r>
      <w:r w:rsidRPr="00F464AD">
        <w:rPr>
          <w:rFonts w:ascii="Arial" w:hAnsi="Arial" w:cs="Arial"/>
          <w:color w:val="010000"/>
          <w:sz w:val="20"/>
          <w:szCs w:val="20"/>
        </w:rPr>
        <w:t>dividend payment 2023 in cash to shareholders.</w:t>
      </w:r>
    </w:p>
    <w:p w14:paraId="1C8D551B" w14:textId="77777777"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Article 7. APPROVE THE REPORT ON PAYMENT OF INDIRECT SALARY FUND, REMUNERATION OF THE BOARD OF DIRECTORS AND SUPERVISORY BOARD IN 2023 AND THE PLAN FOR INDIRECT SALARY FUND, REMUNERATION OF THE BOARD OF DIRECTORS AND SUPERVISORY BOARD IN 2024</w:t>
      </w:r>
    </w:p>
    <w:p w14:paraId="7506AD78" w14:textId="5C1E8DF0"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The </w:t>
      </w:r>
      <w:r w:rsidR="00F63578">
        <w:rPr>
          <w:rFonts w:ascii="Arial" w:hAnsi="Arial" w:cs="Arial"/>
          <w:color w:val="010000"/>
          <w:sz w:val="20"/>
          <w:szCs w:val="20"/>
        </w:rPr>
        <w:t>General Meeting</w:t>
      </w:r>
      <w:r w:rsidRPr="00F464AD">
        <w:rPr>
          <w:rFonts w:ascii="Arial" w:hAnsi="Arial" w:cs="Arial"/>
          <w:color w:val="010000"/>
          <w:sz w:val="20"/>
          <w:szCs w:val="20"/>
        </w:rPr>
        <w:t xml:space="preserve"> approves the report on payment of indirect salary fund, remuneration of the Board of Directors and Supervisory Board in 2023 and the plan for indirect salary fund, remuneration of the Board of Directors and Supervisory Board in 2024, specifically:</w:t>
      </w:r>
    </w:p>
    <w:p w14:paraId="1C39CB6F" w14:textId="77777777" w:rsidR="00FF4ABE" w:rsidRPr="00F464AD" w:rsidRDefault="00FF4ABE" w:rsidP="00F63578">
      <w:pPr>
        <w:pBdr>
          <w:top w:val="nil"/>
          <w:left w:val="nil"/>
          <w:bottom w:val="nil"/>
          <w:right w:val="nil"/>
          <w:between w:val="nil"/>
        </w:pBdr>
        <w:spacing w:after="120" w:line="360" w:lineRule="auto"/>
        <w:jc w:val="both"/>
        <w:rPr>
          <w:rFonts w:ascii="Arial" w:eastAsia="Arial" w:hAnsi="Arial" w:cs="Arial"/>
          <w:color w:val="010000"/>
          <w:sz w:val="20"/>
          <w:szCs w:val="20"/>
        </w:rPr>
      </w:pPr>
    </w:p>
    <w:p w14:paraId="703E1818" w14:textId="77777777" w:rsidR="00FF4ABE" w:rsidRPr="00F464AD" w:rsidRDefault="00F464AD" w:rsidP="00F63578">
      <w:pPr>
        <w:numPr>
          <w:ilvl w:val="0"/>
          <w:numId w:val="4"/>
        </w:numPr>
        <w:pBdr>
          <w:top w:val="nil"/>
          <w:left w:val="nil"/>
          <w:bottom w:val="nil"/>
          <w:right w:val="nil"/>
          <w:between w:val="nil"/>
        </w:pBdr>
        <w:tabs>
          <w:tab w:val="left" w:pos="434"/>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Indirect salary fund of the Company's Office, remuneration payment level of the Board of Directors and Supervisory Board in 2023:</w:t>
      </w:r>
    </w:p>
    <w:p w14:paraId="192F4875" w14:textId="6503465D" w:rsidR="00FF4ABE" w:rsidRPr="00F464AD" w:rsidRDefault="00F464AD" w:rsidP="00F63578">
      <w:pPr>
        <w:numPr>
          <w:ilvl w:val="0"/>
          <w:numId w:val="1"/>
        </w:numPr>
        <w:pBdr>
          <w:top w:val="nil"/>
          <w:left w:val="nil"/>
          <w:bottom w:val="nil"/>
          <w:right w:val="nil"/>
          <w:between w:val="nil"/>
        </w:pBdr>
        <w:tabs>
          <w:tab w:val="left" w:pos="432"/>
          <w:tab w:val="left" w:pos="843"/>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lastRenderedPageBreak/>
        <w:t>The indirect salary fund of the Company's Office in 2023 is: VND 10,493,851,672, equivalent to 2.87% of</w:t>
      </w:r>
      <w:r w:rsidR="00F63578">
        <w:rPr>
          <w:rFonts w:ascii="Arial" w:hAnsi="Arial" w:cs="Arial"/>
          <w:color w:val="010000"/>
          <w:sz w:val="20"/>
          <w:szCs w:val="20"/>
        </w:rPr>
        <w:t xml:space="preserve"> the</w:t>
      </w:r>
      <w:r w:rsidRPr="00F464AD">
        <w:rPr>
          <w:rFonts w:ascii="Arial" w:hAnsi="Arial" w:cs="Arial"/>
          <w:color w:val="010000"/>
          <w:sz w:val="20"/>
          <w:szCs w:val="20"/>
        </w:rPr>
        <w:t xml:space="preserve"> revenue.</w:t>
      </w:r>
    </w:p>
    <w:p w14:paraId="45FB6E2B" w14:textId="77777777" w:rsidR="00FF4ABE" w:rsidRPr="00F464AD" w:rsidRDefault="00F464AD" w:rsidP="00F63578">
      <w:pPr>
        <w:numPr>
          <w:ilvl w:val="0"/>
          <w:numId w:val="1"/>
        </w:numPr>
        <w:pBdr>
          <w:top w:val="nil"/>
          <w:left w:val="nil"/>
          <w:bottom w:val="nil"/>
          <w:right w:val="nil"/>
          <w:between w:val="nil"/>
        </w:pBdr>
        <w:tabs>
          <w:tab w:val="left" w:pos="432"/>
          <w:tab w:val="left" w:pos="821"/>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Remuneration payment level of the Board of Directors and the Supervisory Board in 2023:  VND 0.</w:t>
      </w:r>
    </w:p>
    <w:p w14:paraId="59BE5444" w14:textId="77777777" w:rsidR="00FF4ABE" w:rsidRPr="00F464AD" w:rsidRDefault="00F464AD" w:rsidP="00F63578">
      <w:pPr>
        <w:numPr>
          <w:ilvl w:val="0"/>
          <w:numId w:val="4"/>
        </w:numPr>
        <w:pBdr>
          <w:top w:val="nil"/>
          <w:left w:val="nil"/>
          <w:bottom w:val="nil"/>
          <w:right w:val="nil"/>
          <w:between w:val="nil"/>
        </w:pBdr>
        <w:tabs>
          <w:tab w:val="left" w:pos="463"/>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Plan for indirect salary fund of the Company's Office, remuneration payment level of the Board of Directors and the Supervisory Board in 2024:</w:t>
      </w:r>
    </w:p>
    <w:p w14:paraId="75B39D13" w14:textId="6C4D1F8C" w:rsidR="00FF4ABE" w:rsidRPr="00F464AD" w:rsidRDefault="00F464AD" w:rsidP="00F63578">
      <w:pPr>
        <w:numPr>
          <w:ilvl w:val="0"/>
          <w:numId w:val="1"/>
        </w:numPr>
        <w:pBdr>
          <w:top w:val="nil"/>
          <w:left w:val="nil"/>
          <w:bottom w:val="nil"/>
          <w:right w:val="nil"/>
          <w:between w:val="nil"/>
        </w:pBdr>
        <w:tabs>
          <w:tab w:val="left" w:pos="850"/>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The indirect salary fund of the Company's Office in 2024 is determined not to exceed 2.5% of </w:t>
      </w:r>
      <w:r w:rsidR="00F63578">
        <w:rPr>
          <w:rFonts w:ascii="Arial" w:hAnsi="Arial" w:cs="Arial"/>
          <w:color w:val="010000"/>
          <w:sz w:val="20"/>
          <w:szCs w:val="20"/>
        </w:rPr>
        <w:t xml:space="preserve">the </w:t>
      </w:r>
      <w:bookmarkStart w:id="1" w:name="_GoBack"/>
      <w:bookmarkEnd w:id="1"/>
      <w:r w:rsidRPr="00F464AD">
        <w:rPr>
          <w:rFonts w:ascii="Arial" w:hAnsi="Arial" w:cs="Arial"/>
          <w:color w:val="010000"/>
          <w:sz w:val="20"/>
          <w:szCs w:val="20"/>
        </w:rPr>
        <w:t>revenue.</w:t>
      </w:r>
    </w:p>
    <w:p w14:paraId="069DE315" w14:textId="77777777" w:rsidR="00FF4ABE" w:rsidRPr="00F464AD" w:rsidRDefault="00F464AD" w:rsidP="00F63578">
      <w:pPr>
        <w:numPr>
          <w:ilvl w:val="0"/>
          <w:numId w:val="1"/>
        </w:numPr>
        <w:pBdr>
          <w:top w:val="nil"/>
          <w:left w:val="nil"/>
          <w:bottom w:val="nil"/>
          <w:right w:val="nil"/>
          <w:between w:val="nil"/>
        </w:pBdr>
        <w:tabs>
          <w:tab w:val="left" w:pos="821"/>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Remuneration payment level of the Board of Directors and the Supervisory Board in 2024: VND 0.</w:t>
      </w:r>
    </w:p>
    <w:p w14:paraId="721D55CC" w14:textId="77777777"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Article 8. APPROVE THE TRANSACTION RESULTS IN 2023 AND THE POLICY FOR TRANSACTIONS WITH VINACONEX CORPORATION AND/OR MEMBER COMPANIES IN THE SAME VINACONEX GROUP IN 2024</w:t>
      </w:r>
    </w:p>
    <w:p w14:paraId="6A7163A6" w14:textId="515E0F46" w:rsidR="00FF4ABE" w:rsidRPr="00F464AD" w:rsidRDefault="00F464AD" w:rsidP="00F63578">
      <w:pPr>
        <w:pBdr>
          <w:top w:val="nil"/>
          <w:left w:val="nil"/>
          <w:bottom w:val="nil"/>
          <w:right w:val="nil"/>
          <w:between w:val="nil"/>
        </w:pBdr>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The </w:t>
      </w:r>
      <w:r w:rsidR="00F63578">
        <w:rPr>
          <w:rFonts w:ascii="Arial" w:hAnsi="Arial" w:cs="Arial"/>
          <w:color w:val="010000"/>
          <w:sz w:val="20"/>
          <w:szCs w:val="20"/>
        </w:rPr>
        <w:t>General Meeting</w:t>
      </w:r>
      <w:r w:rsidRPr="00F464AD">
        <w:rPr>
          <w:rFonts w:ascii="Arial" w:hAnsi="Arial" w:cs="Arial"/>
          <w:color w:val="010000"/>
          <w:sz w:val="20"/>
          <w:szCs w:val="20"/>
        </w:rPr>
        <w:t xml:space="preserve"> approves the Transaction Results in 2023 and the Policy for Transactions with </w:t>
      </w:r>
      <w:proofErr w:type="spellStart"/>
      <w:r w:rsidRPr="00F464AD">
        <w:rPr>
          <w:rFonts w:ascii="Arial" w:hAnsi="Arial" w:cs="Arial"/>
          <w:color w:val="010000"/>
          <w:sz w:val="20"/>
          <w:szCs w:val="20"/>
        </w:rPr>
        <w:t>Vinaconex</w:t>
      </w:r>
      <w:proofErr w:type="spellEnd"/>
      <w:r w:rsidRPr="00F464AD">
        <w:rPr>
          <w:rFonts w:ascii="Arial" w:hAnsi="Arial" w:cs="Arial"/>
          <w:color w:val="010000"/>
          <w:sz w:val="20"/>
          <w:szCs w:val="20"/>
        </w:rPr>
        <w:t xml:space="preserve"> Corporation and/or member companies in the same </w:t>
      </w:r>
      <w:proofErr w:type="spellStart"/>
      <w:r w:rsidRPr="00F464AD">
        <w:rPr>
          <w:rFonts w:ascii="Arial" w:hAnsi="Arial" w:cs="Arial"/>
          <w:color w:val="010000"/>
          <w:sz w:val="20"/>
          <w:szCs w:val="20"/>
        </w:rPr>
        <w:t>Vinaconex</w:t>
      </w:r>
      <w:proofErr w:type="spellEnd"/>
      <w:r w:rsidRPr="00F464AD">
        <w:rPr>
          <w:rFonts w:ascii="Arial" w:hAnsi="Arial" w:cs="Arial"/>
          <w:color w:val="010000"/>
          <w:sz w:val="20"/>
          <w:szCs w:val="20"/>
        </w:rPr>
        <w:t xml:space="preserve"> Group in 2024 according to Proposal No. 05/2024/</w:t>
      </w:r>
      <w:proofErr w:type="spellStart"/>
      <w:r w:rsidRPr="00F464AD">
        <w:rPr>
          <w:rFonts w:ascii="Arial" w:hAnsi="Arial" w:cs="Arial"/>
          <w:color w:val="010000"/>
          <w:sz w:val="20"/>
          <w:szCs w:val="20"/>
        </w:rPr>
        <w:t>TTr</w:t>
      </w:r>
      <w:proofErr w:type="spellEnd"/>
      <w:r w:rsidRPr="00F464AD">
        <w:rPr>
          <w:rFonts w:ascii="Arial" w:hAnsi="Arial" w:cs="Arial"/>
          <w:color w:val="010000"/>
          <w:sz w:val="20"/>
          <w:szCs w:val="20"/>
        </w:rPr>
        <w:t>-HDQT dated April 16, 2024 of the Company's Board of Directors.</w:t>
      </w:r>
    </w:p>
    <w:p w14:paraId="45285B37" w14:textId="77777777" w:rsidR="00F63578" w:rsidRDefault="00F464AD" w:rsidP="00F63578">
      <w:pPr>
        <w:pBdr>
          <w:top w:val="nil"/>
          <w:left w:val="nil"/>
          <w:bottom w:val="nil"/>
          <w:right w:val="nil"/>
          <w:between w:val="nil"/>
        </w:pBdr>
        <w:tabs>
          <w:tab w:val="left" w:pos="9749"/>
        </w:tabs>
        <w:spacing w:after="120" w:line="360" w:lineRule="auto"/>
        <w:jc w:val="both"/>
        <w:rPr>
          <w:rFonts w:ascii="Arial" w:hAnsi="Arial" w:cs="Arial"/>
          <w:color w:val="010000"/>
          <w:sz w:val="20"/>
          <w:szCs w:val="20"/>
        </w:rPr>
      </w:pPr>
      <w:r w:rsidRPr="00F464AD">
        <w:rPr>
          <w:rFonts w:ascii="Arial" w:hAnsi="Arial" w:cs="Arial"/>
          <w:color w:val="010000"/>
          <w:sz w:val="20"/>
          <w:szCs w:val="20"/>
        </w:rPr>
        <w:t xml:space="preserve">‎‎Article 9. IMPLEMENTATION </w:t>
      </w:r>
    </w:p>
    <w:p w14:paraId="3C437348" w14:textId="3375B187" w:rsidR="00FF4ABE" w:rsidRPr="00F464AD" w:rsidRDefault="00F464AD" w:rsidP="00F63578">
      <w:pPr>
        <w:pBdr>
          <w:top w:val="nil"/>
          <w:left w:val="nil"/>
          <w:bottom w:val="nil"/>
          <w:right w:val="nil"/>
          <w:between w:val="nil"/>
        </w:pBdr>
        <w:tabs>
          <w:tab w:val="left" w:pos="9749"/>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This General Mandate has been approved by the Annual </w:t>
      </w:r>
      <w:r w:rsidR="00F63578">
        <w:rPr>
          <w:rFonts w:ascii="Arial" w:hAnsi="Arial" w:cs="Arial"/>
          <w:color w:val="010000"/>
          <w:sz w:val="20"/>
          <w:szCs w:val="20"/>
        </w:rPr>
        <w:t>General Meeting</w:t>
      </w:r>
      <w:r w:rsidRPr="00F464AD">
        <w:rPr>
          <w:rFonts w:ascii="Arial" w:hAnsi="Arial" w:cs="Arial"/>
          <w:color w:val="010000"/>
          <w:sz w:val="20"/>
          <w:szCs w:val="20"/>
        </w:rPr>
        <w:t xml:space="preserve"> 2024 of Viet Nam Construction Joint Stock Company No 12.</w:t>
      </w:r>
    </w:p>
    <w:p w14:paraId="02AA5592" w14:textId="7F6ACE7B" w:rsidR="00FF4ABE" w:rsidRPr="00F464AD" w:rsidRDefault="00F464AD" w:rsidP="00F63578">
      <w:pPr>
        <w:numPr>
          <w:ilvl w:val="0"/>
          <w:numId w:val="2"/>
        </w:numPr>
        <w:pBdr>
          <w:top w:val="nil"/>
          <w:left w:val="nil"/>
          <w:bottom w:val="nil"/>
          <w:right w:val="nil"/>
          <w:between w:val="nil"/>
        </w:pBdr>
        <w:tabs>
          <w:tab w:val="left" w:pos="582"/>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 xml:space="preserve">The </w:t>
      </w:r>
      <w:r w:rsidR="00F63578">
        <w:rPr>
          <w:rFonts w:ascii="Arial" w:hAnsi="Arial" w:cs="Arial"/>
          <w:color w:val="010000"/>
          <w:sz w:val="20"/>
          <w:szCs w:val="20"/>
        </w:rPr>
        <w:t>General Meeting</w:t>
      </w:r>
      <w:r w:rsidRPr="00F464AD">
        <w:rPr>
          <w:rFonts w:ascii="Arial" w:hAnsi="Arial" w:cs="Arial"/>
          <w:color w:val="010000"/>
          <w:sz w:val="20"/>
          <w:szCs w:val="20"/>
        </w:rPr>
        <w:t xml:space="preserve"> assigns the Board of Directors and </w:t>
      </w:r>
      <w:r w:rsidR="00F63578">
        <w:rPr>
          <w:rFonts w:ascii="Arial" w:hAnsi="Arial" w:cs="Arial"/>
          <w:color w:val="010000"/>
          <w:sz w:val="20"/>
          <w:szCs w:val="20"/>
        </w:rPr>
        <w:t>Executive Board</w:t>
      </w:r>
      <w:r w:rsidRPr="00F464AD">
        <w:rPr>
          <w:rFonts w:ascii="Arial" w:hAnsi="Arial" w:cs="Arial"/>
          <w:color w:val="010000"/>
          <w:sz w:val="20"/>
          <w:szCs w:val="20"/>
        </w:rPr>
        <w:t xml:space="preserve"> of the Company to be responsible for implementing the contents of this General Mandate </w:t>
      </w:r>
      <w:r w:rsidR="00F63578">
        <w:rPr>
          <w:rFonts w:ascii="Arial" w:hAnsi="Arial" w:cs="Arial"/>
          <w:color w:val="010000"/>
          <w:sz w:val="20"/>
          <w:szCs w:val="20"/>
        </w:rPr>
        <w:t>under</w:t>
      </w:r>
      <w:r w:rsidRPr="00F464AD">
        <w:rPr>
          <w:rFonts w:ascii="Arial" w:hAnsi="Arial" w:cs="Arial"/>
          <w:color w:val="010000"/>
          <w:sz w:val="20"/>
          <w:szCs w:val="20"/>
        </w:rPr>
        <w:t xml:space="preserve"> the Company's Charter and </w:t>
      </w:r>
      <w:r w:rsidR="00F63578">
        <w:rPr>
          <w:rFonts w:ascii="Arial" w:hAnsi="Arial" w:cs="Arial"/>
          <w:color w:val="010000"/>
          <w:sz w:val="20"/>
          <w:szCs w:val="20"/>
        </w:rPr>
        <w:t>applicable laws</w:t>
      </w:r>
      <w:r w:rsidRPr="00F464AD">
        <w:rPr>
          <w:rFonts w:ascii="Arial" w:hAnsi="Arial" w:cs="Arial"/>
          <w:color w:val="010000"/>
          <w:sz w:val="20"/>
          <w:szCs w:val="20"/>
        </w:rPr>
        <w:t>.</w:t>
      </w:r>
    </w:p>
    <w:p w14:paraId="5BA16F4B" w14:textId="77777777" w:rsidR="00FF4ABE" w:rsidRPr="00F464AD" w:rsidRDefault="00F464AD" w:rsidP="00F63578">
      <w:pPr>
        <w:numPr>
          <w:ilvl w:val="0"/>
          <w:numId w:val="2"/>
        </w:numPr>
        <w:pBdr>
          <w:top w:val="nil"/>
          <w:left w:val="nil"/>
          <w:bottom w:val="nil"/>
          <w:right w:val="nil"/>
          <w:between w:val="nil"/>
        </w:pBdr>
        <w:tabs>
          <w:tab w:val="left" w:pos="560"/>
        </w:tabs>
        <w:spacing w:after="120" w:line="360" w:lineRule="auto"/>
        <w:jc w:val="both"/>
        <w:rPr>
          <w:rFonts w:ascii="Arial" w:eastAsia="Arial" w:hAnsi="Arial" w:cs="Arial"/>
          <w:color w:val="010000"/>
          <w:sz w:val="20"/>
          <w:szCs w:val="20"/>
        </w:rPr>
      </w:pPr>
      <w:r w:rsidRPr="00F464AD">
        <w:rPr>
          <w:rFonts w:ascii="Arial" w:hAnsi="Arial" w:cs="Arial"/>
          <w:color w:val="010000"/>
          <w:sz w:val="20"/>
          <w:szCs w:val="20"/>
        </w:rPr>
        <w:t>This General Mandate takes effect from April 16, 2024.</w:t>
      </w:r>
    </w:p>
    <w:p w14:paraId="5B37855C" w14:textId="77777777" w:rsidR="00FF4ABE" w:rsidRPr="00F464AD" w:rsidRDefault="00FF4ABE" w:rsidP="00F63578">
      <w:pPr>
        <w:spacing w:after="120" w:line="360" w:lineRule="auto"/>
        <w:jc w:val="both"/>
        <w:rPr>
          <w:rFonts w:ascii="Arial" w:eastAsia="Arial" w:hAnsi="Arial" w:cs="Arial"/>
          <w:color w:val="010000"/>
          <w:sz w:val="20"/>
          <w:szCs w:val="20"/>
        </w:rPr>
      </w:pPr>
    </w:p>
    <w:sectPr w:rsidR="00FF4ABE" w:rsidRPr="00F464A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795"/>
    <w:multiLevelType w:val="multilevel"/>
    <w:tmpl w:val="D6E6C87E"/>
    <w:lvl w:ilvl="0">
      <w:start w:val="1"/>
      <w:numFmt w:val="decimal"/>
      <w:lvlText w:val="1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410213"/>
    <w:multiLevelType w:val="multilevel"/>
    <w:tmpl w:val="6896A8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5F367F"/>
    <w:multiLevelType w:val="multilevel"/>
    <w:tmpl w:val="B956B16C"/>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8E458A9"/>
    <w:multiLevelType w:val="multilevel"/>
    <w:tmpl w:val="204EC4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BE"/>
    <w:rsid w:val="00F464AD"/>
    <w:rsid w:val="00F63578"/>
    <w:rsid w:val="00FF4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1EA5"/>
  <w15:docId w15:val="{49A3CFFD-FA87-4152-BE9A-A40DD11E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iCs/>
      <w:smallCaps w:val="0"/>
      <w:strike w:val="0"/>
      <w:sz w:val="18"/>
      <w:szCs w:val="1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DC828F"/>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rPr>
      <w:rFonts w:ascii="Arial" w:eastAsia="Arial" w:hAnsi="Arial" w:cs="Arial"/>
      <w:i/>
      <w:iCs/>
      <w:sz w:val="18"/>
      <w:szCs w:val="18"/>
    </w:rPr>
  </w:style>
  <w:style w:type="paragraph" w:customStyle="1" w:styleId="Vnbnnidung30">
    <w:name w:val="Văn bản nội dung (3)"/>
    <w:basedOn w:val="Normal"/>
    <w:link w:val="Vnbnnidung3"/>
    <w:pPr>
      <w:jc w:val="right"/>
    </w:pPr>
    <w:rPr>
      <w:rFonts w:ascii="Times New Roman" w:eastAsia="Times New Roman" w:hAnsi="Times New Roman" w:cs="Times New Roman"/>
      <w:b/>
      <w:bCs/>
      <w:color w:val="DC828F"/>
      <w:sz w:val="28"/>
      <w:szCs w:val="28"/>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Ma8TlfgllczhMcX/oXjfmjizhw==">CgMxLjAyCGguZ2pkZ3hzOAByITFDc2NtREc5TU5rTU9xeHprMHdWcDhBTVhycUtFZTVKYg==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2024-04-24T11:00:00Z</dcterms:created>
  <dcterms:modified xsi:type="dcterms:W3CDTF">2024-04-24T11:00:00Z</dcterms:modified>
</cp:coreProperties>
</file>