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635E" w14:textId="77777777" w:rsidR="0043056D" w:rsidRPr="007C59F8" w:rsidRDefault="0071408D" w:rsidP="00F53B7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7C59F8">
        <w:rPr>
          <w:rFonts w:ascii="Arial" w:hAnsi="Arial" w:cs="Arial"/>
          <w:b/>
          <w:color w:val="010000"/>
          <w:sz w:val="20"/>
        </w:rPr>
        <w:t>VTE: Annual General Mandate 2024</w:t>
      </w:r>
    </w:p>
    <w:p w14:paraId="61EFE0FE" w14:textId="22D3F0BF" w:rsidR="0043056D" w:rsidRPr="007C59F8" w:rsidRDefault="0071408D" w:rsidP="00F53B7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59F8">
        <w:rPr>
          <w:rFonts w:ascii="Arial" w:hAnsi="Arial" w:cs="Arial"/>
          <w:color w:val="010000"/>
          <w:sz w:val="20"/>
        </w:rPr>
        <w:t xml:space="preserve">On April 17, 2024, Vinacap Telecom Electronics Joint Stock Company </w:t>
      </w:r>
      <w:r w:rsidR="007C59F8" w:rsidRPr="007C59F8">
        <w:rPr>
          <w:rFonts w:ascii="Arial" w:hAnsi="Arial" w:cs="Arial"/>
          <w:color w:val="010000"/>
          <w:sz w:val="20"/>
        </w:rPr>
        <w:t>announced</w:t>
      </w:r>
      <w:r w:rsidRPr="007C59F8">
        <w:rPr>
          <w:rFonts w:ascii="Arial" w:hAnsi="Arial" w:cs="Arial"/>
          <w:color w:val="010000"/>
          <w:sz w:val="20"/>
        </w:rPr>
        <w:t xml:space="preserve"> </w:t>
      </w:r>
      <w:r w:rsidR="007C59F8" w:rsidRPr="007C59F8">
        <w:rPr>
          <w:rFonts w:ascii="Arial" w:hAnsi="Arial" w:cs="Arial"/>
          <w:color w:val="010000"/>
          <w:sz w:val="20"/>
        </w:rPr>
        <w:t>General Mandate</w:t>
      </w:r>
      <w:r w:rsidRPr="007C59F8">
        <w:rPr>
          <w:rFonts w:ascii="Arial" w:hAnsi="Arial" w:cs="Arial"/>
          <w:color w:val="010000"/>
          <w:sz w:val="20"/>
        </w:rPr>
        <w:t xml:space="preserve"> No. 02/24/NQ-DHDCD as follows: </w:t>
      </w:r>
    </w:p>
    <w:p w14:paraId="4A9753EE" w14:textId="57C0BB2B" w:rsidR="0043056D" w:rsidRPr="007C59F8" w:rsidRDefault="0071408D" w:rsidP="00F53B7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7C59F8">
        <w:rPr>
          <w:rFonts w:ascii="Arial" w:hAnsi="Arial" w:cs="Arial"/>
          <w:color w:val="010000"/>
          <w:sz w:val="20"/>
        </w:rPr>
        <w:t>‎‎Article 1. Approve the Report on activities of the Board of Directors and the Board of Management in 2023 and plan for 2024;</w:t>
      </w:r>
    </w:p>
    <w:p w14:paraId="2A7B9B44" w14:textId="17D9325F" w:rsidR="0043056D" w:rsidRPr="007C59F8" w:rsidRDefault="0071408D" w:rsidP="00F53B7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59F8">
        <w:rPr>
          <w:rFonts w:ascii="Arial" w:hAnsi="Arial" w:cs="Arial"/>
          <w:color w:val="010000"/>
          <w:sz w:val="20"/>
        </w:rPr>
        <w:t>‎‎Article 2. Approve the Report on the activities of the Supervisory Board in 2023 and the plan for 2024</w:t>
      </w:r>
    </w:p>
    <w:p w14:paraId="63005652" w14:textId="03009D2A" w:rsidR="0043056D" w:rsidRPr="007C59F8" w:rsidRDefault="0071408D" w:rsidP="00F53B7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59F8">
        <w:rPr>
          <w:rFonts w:ascii="Arial" w:hAnsi="Arial" w:cs="Arial"/>
          <w:color w:val="010000"/>
          <w:sz w:val="20"/>
        </w:rPr>
        <w:t>‎‎Article 3. Approve the Financial Statements 2023 audited by AASC Auditing Firm</w:t>
      </w:r>
      <w:r w:rsidR="00F53B7B" w:rsidRPr="007C59F8">
        <w:rPr>
          <w:rFonts w:ascii="Arial" w:hAnsi="Arial" w:cs="Arial"/>
          <w:color w:val="010000"/>
          <w:sz w:val="20"/>
        </w:rPr>
        <w:t xml:space="preserve"> </w:t>
      </w:r>
      <w:r w:rsidRPr="007C59F8">
        <w:rPr>
          <w:rFonts w:ascii="Arial" w:hAnsi="Arial" w:cs="Arial"/>
          <w:color w:val="010000"/>
          <w:sz w:val="20"/>
        </w:rPr>
        <w:t>Company Limited.</w:t>
      </w:r>
    </w:p>
    <w:p w14:paraId="1EFC60BB" w14:textId="32954696" w:rsidR="0043056D" w:rsidRPr="007C59F8" w:rsidRDefault="0071408D" w:rsidP="00F53B7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59F8">
        <w:rPr>
          <w:rFonts w:ascii="Arial" w:hAnsi="Arial" w:cs="Arial"/>
          <w:color w:val="010000"/>
          <w:sz w:val="20"/>
        </w:rPr>
        <w:t>‎‎Article 4. Approve the production and business Results in 2023 and distribution of profits, Appropriation for Funds,</w:t>
      </w:r>
      <w:r w:rsidR="00F53B7B" w:rsidRPr="007C59F8">
        <w:rPr>
          <w:rFonts w:ascii="Arial" w:hAnsi="Arial" w:cs="Arial"/>
          <w:color w:val="010000"/>
          <w:sz w:val="20"/>
        </w:rPr>
        <w:t xml:space="preserve"> </w:t>
      </w:r>
      <w:r w:rsidRPr="007C59F8">
        <w:rPr>
          <w:rFonts w:ascii="Arial" w:hAnsi="Arial" w:cs="Arial"/>
          <w:color w:val="010000"/>
          <w:sz w:val="20"/>
        </w:rPr>
        <w:t>dividend payment, and remuneration payment for the Board of Directors and Supervisory Board in 2023.</w:t>
      </w:r>
    </w:p>
    <w:p w14:paraId="5317B0B6" w14:textId="0B5ECCD4" w:rsidR="0043056D" w:rsidRPr="007C59F8" w:rsidRDefault="0071408D" w:rsidP="00F53B7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59F8">
        <w:rPr>
          <w:rFonts w:ascii="Arial" w:hAnsi="Arial" w:cs="Arial"/>
          <w:color w:val="010000"/>
          <w:sz w:val="20"/>
        </w:rPr>
        <w:t>Unit</w:t>
      </w:r>
      <w:r w:rsidR="007C59F8" w:rsidRPr="007C59F8">
        <w:rPr>
          <w:rFonts w:ascii="Arial" w:hAnsi="Arial" w:cs="Arial"/>
          <w:color w:val="010000"/>
          <w:sz w:val="20"/>
        </w:rPr>
        <w:t>:</w:t>
      </w:r>
      <w:r w:rsidRPr="007C59F8">
        <w:rPr>
          <w:rFonts w:ascii="Arial" w:hAnsi="Arial" w:cs="Arial"/>
          <w:color w:val="010000"/>
          <w:sz w:val="20"/>
        </w:rPr>
        <w:t xml:space="preserve"> Billion VND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836"/>
        <w:gridCol w:w="2936"/>
        <w:gridCol w:w="1389"/>
        <w:gridCol w:w="1288"/>
        <w:gridCol w:w="1277"/>
        <w:gridCol w:w="1291"/>
      </w:tblGrid>
      <w:tr w:rsidR="0043056D" w:rsidRPr="007C59F8" w14:paraId="017A3EFD" w14:textId="77777777" w:rsidTr="00F53B7B"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E31A98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2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0294F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77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DB1B6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 xml:space="preserve">2022 Results </w:t>
            </w:r>
          </w:p>
        </w:tc>
        <w:tc>
          <w:tcPr>
            <w:tcW w:w="2138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577041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</w:tr>
      <w:tr w:rsidR="0043056D" w:rsidRPr="007C59F8" w14:paraId="573A3924" w14:textId="77777777" w:rsidTr="00F53B7B"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F2D6D" w14:textId="77777777" w:rsidR="0043056D" w:rsidRPr="007C59F8" w:rsidRDefault="0043056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2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0E8D4F" w14:textId="77777777" w:rsidR="0043056D" w:rsidRPr="007C59F8" w:rsidRDefault="0043056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FE56B" w14:textId="77777777" w:rsidR="0043056D" w:rsidRPr="007C59F8" w:rsidRDefault="0043056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10BEB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Plan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30C3C" w14:textId="61C2B7C7" w:rsidR="0043056D" w:rsidRPr="007C59F8" w:rsidRDefault="007C59F8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eastAsia="Arial" w:hAnsi="Arial" w:cs="Arial"/>
                <w:color w:val="010000"/>
                <w:sz w:val="20"/>
                <w:szCs w:val="20"/>
              </w:rPr>
              <w:t>Results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96024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% Result/Plan</w:t>
            </w:r>
          </w:p>
        </w:tc>
      </w:tr>
      <w:tr w:rsidR="0043056D" w:rsidRPr="007C59F8" w14:paraId="0C5B51EC" w14:textId="77777777" w:rsidTr="00F53B7B"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F01C7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4181F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E153B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420.74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016C93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445.98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AF0BDB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381.79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6C334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85.6%</w:t>
            </w:r>
          </w:p>
        </w:tc>
      </w:tr>
      <w:tr w:rsidR="0043056D" w:rsidRPr="007C59F8" w14:paraId="4CF51DA7" w14:textId="77777777" w:rsidTr="00F53B7B"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28EC5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0BF2B6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Total profit before tax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6AED1D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2.53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71F77" w14:textId="77777777" w:rsidR="0043056D" w:rsidRPr="007C59F8" w:rsidRDefault="0043056D" w:rsidP="00F53B7B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EFF55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2.06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363752" w14:textId="77777777" w:rsidR="0043056D" w:rsidRPr="007C59F8" w:rsidRDefault="0043056D" w:rsidP="00F53B7B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3056D" w:rsidRPr="007C59F8" w14:paraId="74C34B43" w14:textId="77777777" w:rsidTr="00F53B7B"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F79D7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215B5" w14:textId="0611492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Total profit after tax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B78A1B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1.48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A2757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1.63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04266C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1.21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2D3C7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74.2%</w:t>
            </w:r>
          </w:p>
        </w:tc>
      </w:tr>
      <w:tr w:rsidR="0043056D" w:rsidRPr="007C59F8" w14:paraId="07A6D536" w14:textId="77777777" w:rsidTr="00F53B7B"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2B3E9B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0D7E20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Average charter capital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C65D8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156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CC069A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156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63AF4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156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B089E4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43056D" w:rsidRPr="007C59F8" w14:paraId="563AA006" w14:textId="77777777" w:rsidTr="00F53B7B"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E22E1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9CD64D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Dividend payment rate (%)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D6032C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0.85%/charter capital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444F22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1%/charter capital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C7BE7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0.68%/charter capital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A58BB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68%</w:t>
            </w:r>
          </w:p>
        </w:tc>
      </w:tr>
      <w:tr w:rsidR="0043056D" w:rsidRPr="007C59F8" w14:paraId="5B6DA823" w14:textId="77777777" w:rsidTr="00F53B7B"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19F8D3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6B7DAF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Remuneration of the Board of Directors and the Supervisory Board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183E9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0.016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E3340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0.0163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0DB2A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0.012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4CDF3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74.2%</w:t>
            </w:r>
          </w:p>
        </w:tc>
      </w:tr>
      <w:tr w:rsidR="0043056D" w:rsidRPr="007C59F8" w14:paraId="7B27D065" w14:textId="77777777" w:rsidTr="00F53B7B"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D81DC9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B5E0B" w14:textId="306E2AEE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Appropriation for funds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3A46A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0.148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736DF" w14:textId="77777777" w:rsidR="0043056D" w:rsidRPr="007C59F8" w:rsidRDefault="0043056D" w:rsidP="00F53B7B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60E3FA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0.121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6B4ED" w14:textId="77777777" w:rsidR="0043056D" w:rsidRPr="007C59F8" w:rsidRDefault="0043056D" w:rsidP="00F53B7B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3056D" w:rsidRPr="007C59F8" w14:paraId="0043C73D" w14:textId="77777777" w:rsidTr="00F53B7B"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72ACE6" w14:textId="77777777" w:rsidR="0043056D" w:rsidRPr="007C59F8" w:rsidRDefault="0043056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FD748" w14:textId="60301A4F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Investment and development fund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2DC4A" w14:textId="77777777" w:rsidR="0043056D" w:rsidRPr="007C59F8" w:rsidRDefault="0043056D" w:rsidP="00F53B7B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59FBBE" w14:textId="77777777" w:rsidR="0043056D" w:rsidRPr="007C59F8" w:rsidRDefault="0043056D" w:rsidP="00F53B7B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B8156" w14:textId="77777777" w:rsidR="0043056D" w:rsidRPr="007C59F8" w:rsidRDefault="0043056D" w:rsidP="00F53B7B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3DADDD" w14:textId="77777777" w:rsidR="0043056D" w:rsidRPr="007C59F8" w:rsidRDefault="0043056D" w:rsidP="00F53B7B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3056D" w:rsidRPr="007C59F8" w14:paraId="2FDEDBCB" w14:textId="77777777" w:rsidTr="00F53B7B"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F1B5E" w14:textId="77777777" w:rsidR="0043056D" w:rsidRPr="007C59F8" w:rsidRDefault="0043056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9C56E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Welfare fund 5%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804D8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0.074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EC448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0.082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CFB11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0.061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8866DB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74.2%</w:t>
            </w:r>
          </w:p>
        </w:tc>
      </w:tr>
      <w:tr w:rsidR="0043056D" w:rsidRPr="007C59F8" w14:paraId="16B068CA" w14:textId="77777777" w:rsidTr="00F53B7B"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2B485" w14:textId="77777777" w:rsidR="0043056D" w:rsidRPr="007C59F8" w:rsidRDefault="0043056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F40783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Bonus fund 5%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12B72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0.074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C7BBF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0.082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4253C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0.061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50FEB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74.2%</w:t>
            </w:r>
          </w:p>
        </w:tc>
      </w:tr>
    </w:tbl>
    <w:p w14:paraId="01A6D54B" w14:textId="77777777" w:rsidR="0043056D" w:rsidRPr="007C59F8" w:rsidRDefault="0071408D" w:rsidP="00F53B7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59F8">
        <w:rPr>
          <w:rFonts w:ascii="Arial" w:hAnsi="Arial" w:cs="Arial"/>
          <w:color w:val="010000"/>
          <w:sz w:val="20"/>
        </w:rPr>
        <w:t>(According to the Audited Financial Statements 2023)</w:t>
      </w:r>
    </w:p>
    <w:p w14:paraId="78515670" w14:textId="7DF19966" w:rsidR="0043056D" w:rsidRPr="007C59F8" w:rsidRDefault="0071408D" w:rsidP="00F53B7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7C59F8">
        <w:rPr>
          <w:rFonts w:ascii="Arial" w:hAnsi="Arial" w:cs="Arial"/>
          <w:color w:val="010000"/>
          <w:sz w:val="20"/>
        </w:rPr>
        <w:t>Distribute profits, pay dividends, and pay remunerations to the Board of Directors- Supervisory Board in 2023:</w:t>
      </w:r>
    </w:p>
    <w:p w14:paraId="636E0FBB" w14:textId="0E1FFAA5" w:rsidR="0043056D" w:rsidRPr="007C59F8" w:rsidRDefault="0071408D" w:rsidP="00F53B7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59F8">
        <w:rPr>
          <w:rFonts w:ascii="Arial" w:hAnsi="Arial" w:cs="Arial"/>
          <w:color w:val="010000"/>
          <w:sz w:val="20"/>
        </w:rPr>
        <w:t>According to the minutes of the General Meeting of Shareholders 2024 No. 02/24/BB - DHDCD dated April 17, 2024: Based on the audited Financial Statements, business results in 2023: Profit after tax in 2023: VND 1.209 billion</w:t>
      </w:r>
      <w:r w:rsidR="007C59F8" w:rsidRPr="007C59F8">
        <w:rPr>
          <w:rFonts w:ascii="Arial" w:hAnsi="Arial" w:cs="Arial"/>
          <w:color w:val="010000"/>
          <w:sz w:val="20"/>
        </w:rPr>
        <w:t>,</w:t>
      </w:r>
      <w:r w:rsidRPr="007C59F8">
        <w:rPr>
          <w:rFonts w:ascii="Arial" w:hAnsi="Arial" w:cs="Arial"/>
          <w:color w:val="010000"/>
          <w:sz w:val="20"/>
        </w:rPr>
        <w:t xml:space="preserve"> the General Meeting of Shareholders </w:t>
      </w:r>
      <w:r w:rsidR="007C59F8" w:rsidRPr="007C59F8">
        <w:rPr>
          <w:rFonts w:ascii="Arial" w:hAnsi="Arial" w:cs="Arial"/>
          <w:color w:val="010000"/>
          <w:sz w:val="20"/>
        </w:rPr>
        <w:t>approve:</w:t>
      </w:r>
    </w:p>
    <w:p w14:paraId="105E66DB" w14:textId="7BDF3C44" w:rsidR="0043056D" w:rsidRPr="007C59F8" w:rsidRDefault="0071408D" w:rsidP="00F53B7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59F8">
        <w:rPr>
          <w:rFonts w:ascii="Arial" w:hAnsi="Arial" w:cs="Arial"/>
          <w:color w:val="010000"/>
          <w:sz w:val="20"/>
        </w:rPr>
        <w:lastRenderedPageBreak/>
        <w:t xml:space="preserve">Profit distribution in 2023 </w:t>
      </w:r>
      <w:r w:rsidR="007C59F8" w:rsidRPr="007C59F8">
        <w:rPr>
          <w:rFonts w:ascii="Arial" w:hAnsi="Arial" w:cs="Arial"/>
          <w:color w:val="010000"/>
          <w:sz w:val="20"/>
        </w:rPr>
        <w:t xml:space="preserve">is </w:t>
      </w:r>
      <w:r w:rsidRPr="007C59F8">
        <w:rPr>
          <w:rFonts w:ascii="Arial" w:hAnsi="Arial" w:cs="Arial"/>
          <w:color w:val="010000"/>
          <w:sz w:val="20"/>
        </w:rPr>
        <w:t>as follows:</w:t>
      </w:r>
    </w:p>
    <w:tbl>
      <w:tblPr>
        <w:tblStyle w:val="a0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3011"/>
        <w:gridCol w:w="3008"/>
        <w:gridCol w:w="3008"/>
      </w:tblGrid>
      <w:tr w:rsidR="0043056D" w:rsidRPr="007C59F8" w14:paraId="2CC5033D" w14:textId="77777777" w:rsidTr="00F53B7B">
        <w:tc>
          <w:tcPr>
            <w:tcW w:w="1667" w:type="pct"/>
            <w:shd w:val="clear" w:color="auto" w:fill="auto"/>
            <w:vAlign w:val="center"/>
          </w:tcPr>
          <w:p w14:paraId="109CA4F2" w14:textId="6A3D34DB" w:rsidR="0043056D" w:rsidRPr="007C59F8" w:rsidRDefault="0071408D" w:rsidP="00F53B7B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Appropriation for funds: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4709308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: VND 120.9 million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DC57FCF" w14:textId="77777777" w:rsidR="0043056D" w:rsidRPr="007C59F8" w:rsidRDefault="0043056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3056D" w:rsidRPr="007C59F8" w14:paraId="114A74C5" w14:textId="77777777" w:rsidTr="00F53B7B">
        <w:tc>
          <w:tcPr>
            <w:tcW w:w="1667" w:type="pct"/>
            <w:shd w:val="clear" w:color="auto" w:fill="auto"/>
            <w:vAlign w:val="center"/>
          </w:tcPr>
          <w:p w14:paraId="1D1A093D" w14:textId="25E7B58C" w:rsidR="0043056D" w:rsidRPr="007C59F8" w:rsidRDefault="0071408D" w:rsidP="00F53B7B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Remuneration for the Board of Directors and the Supervisory Board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AE126FB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: VND 12.09 million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AA11909" w14:textId="77777777" w:rsidR="0043056D" w:rsidRPr="007C59F8" w:rsidRDefault="0043056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3056D" w:rsidRPr="007C59F8" w14:paraId="4443E96C" w14:textId="77777777" w:rsidTr="00F53B7B">
        <w:tc>
          <w:tcPr>
            <w:tcW w:w="1667" w:type="pct"/>
            <w:shd w:val="clear" w:color="auto" w:fill="auto"/>
            <w:vAlign w:val="center"/>
          </w:tcPr>
          <w:p w14:paraId="706E5ED6" w14:textId="5301A064" w:rsidR="0043056D" w:rsidRPr="007C59F8" w:rsidRDefault="0071408D" w:rsidP="00F53B7B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Dividend payment of 0.68%/charter capital: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5393D90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: VND 1,060,800,000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FFBA70A" w14:textId="77777777" w:rsidR="0043056D" w:rsidRPr="007C59F8" w:rsidRDefault="0043056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41DC0C5" w14:textId="7E87176A" w:rsidR="0043056D" w:rsidRPr="007C59F8" w:rsidRDefault="0071408D" w:rsidP="00F53B7B">
      <w:pPr>
        <w:pBdr>
          <w:top w:val="nil"/>
          <w:left w:val="nil"/>
          <w:bottom w:val="nil"/>
          <w:right w:val="nil"/>
          <w:between w:val="nil"/>
        </w:pBdr>
        <w:tabs>
          <w:tab w:val="left" w:pos="103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59F8">
        <w:rPr>
          <w:rFonts w:ascii="Arial" w:hAnsi="Arial" w:cs="Arial"/>
          <w:color w:val="010000"/>
          <w:sz w:val="20"/>
        </w:rPr>
        <w:t>Implementing fund appropriation and profit distribution, after being approved by the General Meeting of Shareholders, will be accounted for in the first 6 months of 2024 and audited for the first 6 months of 2024.</w:t>
      </w:r>
    </w:p>
    <w:p w14:paraId="0478F048" w14:textId="7720DF12" w:rsidR="0043056D" w:rsidRPr="007C59F8" w:rsidRDefault="0071408D" w:rsidP="00F53B7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59F8">
        <w:rPr>
          <w:rFonts w:ascii="Arial" w:hAnsi="Arial" w:cs="Arial"/>
          <w:color w:val="010000"/>
          <w:sz w:val="20"/>
        </w:rPr>
        <w:t xml:space="preserve">‎‎Article 5. Approve The Production and business plan; Profit distribution plan and dividend payment; </w:t>
      </w:r>
      <w:r w:rsidR="007C59F8" w:rsidRPr="007C59F8">
        <w:rPr>
          <w:rFonts w:ascii="Arial" w:hAnsi="Arial" w:cs="Arial"/>
          <w:color w:val="010000"/>
          <w:sz w:val="20"/>
        </w:rPr>
        <w:t>Remuneration</w:t>
      </w:r>
      <w:r w:rsidRPr="007C59F8">
        <w:rPr>
          <w:rFonts w:ascii="Arial" w:hAnsi="Arial" w:cs="Arial"/>
          <w:color w:val="010000"/>
          <w:sz w:val="20"/>
        </w:rPr>
        <w:t xml:space="preserve"> plan for the Board of Directors and Supervisory Board in 2024:</w:t>
      </w:r>
    </w:p>
    <w:p w14:paraId="2EA69BCD" w14:textId="77777777" w:rsidR="0043056D" w:rsidRPr="007C59F8" w:rsidRDefault="0071408D" w:rsidP="00F53B7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7C59F8">
        <w:rPr>
          <w:rFonts w:ascii="Arial" w:hAnsi="Arial" w:cs="Arial"/>
          <w:color w:val="010000"/>
          <w:sz w:val="20"/>
        </w:rPr>
        <w:t>Unit Billion VND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99"/>
        <w:gridCol w:w="1266"/>
        <w:gridCol w:w="1403"/>
        <w:gridCol w:w="4449"/>
      </w:tblGrid>
      <w:tr w:rsidR="0043056D" w:rsidRPr="007C59F8" w14:paraId="4C37783F" w14:textId="77777777" w:rsidTr="00F53B7B"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3D04E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B0918" w14:textId="7C0D378D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2023 Results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89F82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 xml:space="preserve">2024 Plan </w:t>
            </w:r>
          </w:p>
        </w:tc>
        <w:tc>
          <w:tcPr>
            <w:tcW w:w="25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FC0422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43056D" w:rsidRPr="007C59F8" w14:paraId="2A4488D2" w14:textId="77777777" w:rsidTr="00F53B7B"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0CF84F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9EA600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381.79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53036D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389.02</w:t>
            </w:r>
          </w:p>
        </w:tc>
        <w:tc>
          <w:tcPr>
            <w:tcW w:w="25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733A1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Increase by 1.89% compared to it in the previous year.</w:t>
            </w:r>
          </w:p>
        </w:tc>
      </w:tr>
      <w:tr w:rsidR="0043056D" w:rsidRPr="007C59F8" w14:paraId="50CB826A" w14:textId="77777777" w:rsidTr="00F53B7B"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41B842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678E5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1.21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8B686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2.03</w:t>
            </w:r>
          </w:p>
        </w:tc>
        <w:tc>
          <w:tcPr>
            <w:tcW w:w="25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ED12C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Increase by 67.77% compared to it in the previous year.</w:t>
            </w:r>
          </w:p>
        </w:tc>
      </w:tr>
      <w:tr w:rsidR="0043056D" w:rsidRPr="007C59F8" w14:paraId="5C2F65BA" w14:textId="77777777" w:rsidTr="00F53B7B"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7046F" w14:textId="431AB9A3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Charter capital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1EDB0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156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87132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156</w:t>
            </w:r>
          </w:p>
        </w:tc>
        <w:tc>
          <w:tcPr>
            <w:tcW w:w="25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B7975" w14:textId="77777777" w:rsidR="0043056D" w:rsidRPr="007C59F8" w:rsidRDefault="0043056D" w:rsidP="00F53B7B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3056D" w:rsidRPr="007C59F8" w14:paraId="7BD69F82" w14:textId="77777777" w:rsidTr="00F53B7B"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5E83D0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Average dividend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F383FA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0.68%/charter capital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1AD740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1%/charter capital</w:t>
            </w:r>
          </w:p>
        </w:tc>
        <w:tc>
          <w:tcPr>
            <w:tcW w:w="25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C08C64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After all fund have been appropriated and paid according to regulations</w:t>
            </w:r>
          </w:p>
        </w:tc>
      </w:tr>
      <w:tr w:rsidR="0043056D" w:rsidRPr="007C59F8" w14:paraId="1BBE02C3" w14:textId="77777777" w:rsidTr="00F53B7B"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B22D7E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Salary/Remuneration Fund of the Board of Directors and the Supervisory Board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830F0" w14:textId="77777777" w:rsidR="0043056D" w:rsidRPr="007C59F8" w:rsidRDefault="0043056D" w:rsidP="00F53B7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2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A2BE6" w14:textId="77777777" w:rsidR="0043056D" w:rsidRPr="007C59F8" w:rsidRDefault="0071408D" w:rsidP="00F5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The payment plan for the remuneration of the Board of Directors and the Supervisory Board in 2024 is detailed as follows:</w:t>
            </w:r>
          </w:p>
          <w:p w14:paraId="7B02DFAE" w14:textId="77777777" w:rsidR="0043056D" w:rsidRPr="007C59F8" w:rsidRDefault="0071408D" w:rsidP="00F53B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In case of completing (with the assigned plan) the target of profit after tax in 2024, the remuneration is equal to 3% of profit after tax (after appropriating funds according to regulations);</w:t>
            </w:r>
          </w:p>
          <w:p w14:paraId="384C2134" w14:textId="5C5CFC22" w:rsidR="0043056D" w:rsidRPr="007C59F8" w:rsidRDefault="0071408D" w:rsidP="00F53B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In case the realized profit after tax is greater than the plan, for every 1% of the profit after tax exceeding the plan, the remuneration will be increased up to 2% of the remuneration for completing the plan. The total realized remuneration fund of the Board of Directors and the Supervisory Board shall not exceed 20% of the realized salary of the Executive Manager in 2024 (including</w:t>
            </w:r>
            <w:r w:rsidR="00F53B7B" w:rsidRPr="007C59F8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C59F8">
              <w:rPr>
                <w:rFonts w:ascii="Arial" w:hAnsi="Arial" w:cs="Arial"/>
                <w:color w:val="010000"/>
                <w:sz w:val="20"/>
              </w:rPr>
              <w:t>executive member of the Board of Directors, the Board of Management, Chief Accountant, and the executive members of the Supervisory Board);</w:t>
            </w:r>
          </w:p>
          <w:p w14:paraId="5BA29FA1" w14:textId="77777777" w:rsidR="0043056D" w:rsidRPr="007C59F8" w:rsidRDefault="0071408D" w:rsidP="00F53B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lastRenderedPageBreak/>
              <w:t>In case the realized profit after tax is smaller than the plan, for every 1% decrease in profit after tax compared with the plan, 1% lower than the remuneration for completing the plan.</w:t>
            </w:r>
          </w:p>
          <w:p w14:paraId="08D2D83B" w14:textId="77777777" w:rsidR="0043056D" w:rsidRPr="007C59F8" w:rsidRDefault="0071408D" w:rsidP="00F53B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59F8">
              <w:rPr>
                <w:rFonts w:ascii="Arial" w:hAnsi="Arial" w:cs="Arial"/>
                <w:color w:val="010000"/>
                <w:sz w:val="20"/>
              </w:rPr>
              <w:t>- In case of loss, no remuneration shall be paid.</w:t>
            </w:r>
          </w:p>
        </w:tc>
      </w:tr>
    </w:tbl>
    <w:p w14:paraId="637CB693" w14:textId="77777777" w:rsidR="0043056D" w:rsidRPr="007C59F8" w:rsidRDefault="0071408D" w:rsidP="00F53B7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59F8">
        <w:rPr>
          <w:rFonts w:ascii="Arial" w:hAnsi="Arial" w:cs="Arial"/>
          <w:color w:val="010000"/>
          <w:sz w:val="20"/>
        </w:rPr>
        <w:lastRenderedPageBreak/>
        <w:t>‎‎Article 6. The General Meeting of Shareholders authorizes the Board of Directors to actively select a large and reputable auditing company to audit the Financial Statements of the Company in 2024.</w:t>
      </w:r>
    </w:p>
    <w:p w14:paraId="42750709" w14:textId="7E4B7D2E" w:rsidR="0043056D" w:rsidRPr="007C59F8" w:rsidRDefault="0071408D" w:rsidP="00F53B7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59F8">
        <w:rPr>
          <w:rFonts w:ascii="Arial" w:hAnsi="Arial" w:cs="Arial"/>
          <w:color w:val="010000"/>
          <w:sz w:val="20"/>
        </w:rPr>
        <w:t xml:space="preserve">‎‎Article 7. This General Mandate was approved by the General Meeting of Shareholders in full and </w:t>
      </w:r>
      <w:r w:rsidR="007C59F8" w:rsidRPr="007C59F8">
        <w:rPr>
          <w:rFonts w:ascii="Arial" w:hAnsi="Arial" w:cs="Arial"/>
          <w:color w:val="010000"/>
          <w:sz w:val="20"/>
        </w:rPr>
        <w:t>takes</w:t>
      </w:r>
      <w:r w:rsidRPr="007C59F8">
        <w:rPr>
          <w:rFonts w:ascii="Arial" w:hAnsi="Arial" w:cs="Arial"/>
          <w:color w:val="010000"/>
          <w:sz w:val="20"/>
        </w:rPr>
        <w:t xml:space="preserve"> effect from April 17, 2024.</w:t>
      </w:r>
    </w:p>
    <w:sectPr w:rsidR="0043056D" w:rsidRPr="007C59F8" w:rsidSect="00F53B7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3C7"/>
    <w:multiLevelType w:val="hybridMultilevel"/>
    <w:tmpl w:val="5088FE92"/>
    <w:lvl w:ilvl="0" w:tplc="C8804FE0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D662F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B6FEAF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C5968"/>
    <w:multiLevelType w:val="hybridMultilevel"/>
    <w:tmpl w:val="68947090"/>
    <w:lvl w:ilvl="0" w:tplc="7584E724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EFF66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E4D202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12952"/>
    <w:multiLevelType w:val="hybridMultilevel"/>
    <w:tmpl w:val="C4769B2A"/>
    <w:lvl w:ilvl="0" w:tplc="65340792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C6287C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238E66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C5EB9"/>
    <w:multiLevelType w:val="hybridMultilevel"/>
    <w:tmpl w:val="044887E6"/>
    <w:lvl w:ilvl="0" w:tplc="C5E2275E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9A5AE9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FEFEDC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E7D87"/>
    <w:multiLevelType w:val="multilevel"/>
    <w:tmpl w:val="E228D772"/>
    <w:lvl w:ilvl="0">
      <w:start w:val="1"/>
      <w:numFmt w:val="decimal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56D"/>
    <w:rsid w:val="0043056D"/>
    <w:rsid w:val="0071408D"/>
    <w:rsid w:val="007C59F8"/>
    <w:rsid w:val="00F5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93CE7"/>
  <w15:docId w15:val="{AC3936F0-80FA-474D-80F4-51F9D8E6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CF2557"/>
      <w:sz w:val="24"/>
      <w:szCs w:val="24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4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sz w:val="17"/>
      <w:szCs w:val="17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Consolas" w:eastAsia="Consolas" w:hAnsi="Consolas" w:cs="Consolas"/>
      <w:color w:val="CF2557"/>
    </w:rPr>
  </w:style>
  <w:style w:type="paragraph" w:customStyle="1" w:styleId="Chthchbng0">
    <w:name w:val="Chú thích bảng"/>
    <w:basedOn w:val="Normal"/>
    <w:link w:val="Chthchbng"/>
    <w:pPr>
      <w:spacing w:line="348" w:lineRule="auto"/>
      <w:ind w:left="840" w:hanging="8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Khc0">
    <w:name w:val="Khác"/>
    <w:basedOn w:val="Normal"/>
    <w:link w:val="Khc"/>
    <w:pPr>
      <w:spacing w:line="343" w:lineRule="auto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39"/>
    <w:rsid w:val="006B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71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L8hHn1EJTSMD8JW19BBKAXdi0g==">CgMxLjAyCGguZ2pkZ3hzOAByITFvRUhlVmpzNHczQWpjTURkSDlfbFNYb1AzSC1HbTlDbQ==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685</Words>
  <Characters>3557</Characters>
  <Application>Microsoft Office Word</Application>
  <DocSecurity>0</DocSecurity>
  <Lines>169</Lines>
  <Paragraphs>121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2024-04-23T02:18:00Z</dcterms:created>
  <dcterms:modified xsi:type="dcterms:W3CDTF">2024-04-24T01:49:00Z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c0d9e13bd99cd4ca0d9b6b83e37dd344ae1db54cee1eaf107829558216a934c5</vt:lpwstr>
  </property>
</Properties>
</file>