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C69A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b/>
          <w:color w:val="010000"/>
          <w:sz w:val="20"/>
          <w:szCs w:val="20"/>
        </w:rPr>
      </w:pPr>
      <w:r w:rsidRPr="00C86700">
        <w:rPr>
          <w:rFonts w:ascii="Arial" w:hAnsi="Arial" w:cs="Arial"/>
          <w:b/>
          <w:bCs/>
          <w:color w:val="010000"/>
          <w:sz w:val="20"/>
        </w:rPr>
        <w:t>BVB123025:</w:t>
      </w:r>
      <w:r w:rsidRPr="00C86700">
        <w:rPr>
          <w:rFonts w:ascii="Arial" w:hAnsi="Arial" w:cs="Arial"/>
          <w:b/>
          <w:color w:val="010000"/>
          <w:sz w:val="20"/>
        </w:rPr>
        <w:t xml:space="preserve"> Annual General Mandate 2024</w:t>
      </w:r>
    </w:p>
    <w:p w14:paraId="19AF015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On April 19, 2024, Viet Capital Bank announced General Mandate No. 01/24/BVBank/NQ-DHDCD as follows:</w:t>
      </w:r>
    </w:p>
    <w:p w14:paraId="69D34B3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1. Approve Report No. 47/24/BVBank/BC-HDQT dated March 28, 2024 of the Board of Directors on evaluating the work of the Board of Directors, the results of the implementation of the General Mandate, and the business results of BVBank in 2023.</w:t>
      </w:r>
    </w:p>
    <w:p w14:paraId="69FA1476" w14:textId="77777777" w:rsidR="00FA3763" w:rsidRPr="00C86700" w:rsidRDefault="008B42A3" w:rsidP="007F4E1E">
      <w:pPr>
        <w:numPr>
          <w:ilvl w:val="0"/>
          <w:numId w:val="3"/>
        </w:numPr>
        <w:pBdr>
          <w:top w:val="nil"/>
          <w:left w:val="nil"/>
          <w:bottom w:val="nil"/>
          <w:right w:val="nil"/>
          <w:between w:val="nil"/>
        </w:pBdr>
        <w:tabs>
          <w:tab w:val="left" w:pos="432"/>
          <w:tab w:val="left" w:pos="2415"/>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organization and implementation of tasks of the Board of Directors in 2023;</w:t>
      </w:r>
    </w:p>
    <w:p w14:paraId="39EFE0A3" w14:textId="77777777" w:rsidR="00FA3763" w:rsidRPr="00C86700" w:rsidRDefault="008B42A3" w:rsidP="007F4E1E">
      <w:pPr>
        <w:numPr>
          <w:ilvl w:val="0"/>
          <w:numId w:val="3"/>
        </w:numPr>
        <w:pBdr>
          <w:top w:val="nil"/>
          <w:left w:val="nil"/>
          <w:bottom w:val="nil"/>
          <w:right w:val="nil"/>
          <w:between w:val="nil"/>
        </w:pBdr>
        <w:tabs>
          <w:tab w:val="left" w:pos="432"/>
          <w:tab w:val="left" w:pos="2415"/>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results of general targets achieved compared to the plan submitted to the General Meeting of Shareholders;</w:t>
      </w:r>
    </w:p>
    <w:p w14:paraId="4289AB06" w14:textId="77777777" w:rsidR="00FA3763" w:rsidRPr="00C86700" w:rsidRDefault="008B42A3" w:rsidP="007F4E1E">
      <w:pPr>
        <w:numPr>
          <w:ilvl w:val="0"/>
          <w:numId w:val="3"/>
        </w:numPr>
        <w:pBdr>
          <w:top w:val="nil"/>
          <w:left w:val="nil"/>
          <w:bottom w:val="nil"/>
          <w:right w:val="nil"/>
          <w:between w:val="nil"/>
        </w:pBdr>
        <w:tabs>
          <w:tab w:val="left" w:pos="432"/>
          <w:tab w:val="left" w:pos="2415"/>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results of corporate governance, executive supervision, human resource management, bad debt handling and implementation of major projects implemented in 2023;</w:t>
      </w:r>
    </w:p>
    <w:p w14:paraId="3672EEE8" w14:textId="77777777" w:rsidR="00FA3763" w:rsidRPr="00C86700" w:rsidRDefault="008B42A3" w:rsidP="007F4E1E">
      <w:pPr>
        <w:numPr>
          <w:ilvl w:val="0"/>
          <w:numId w:val="3"/>
        </w:numPr>
        <w:pBdr>
          <w:top w:val="nil"/>
          <w:left w:val="nil"/>
          <w:bottom w:val="nil"/>
          <w:right w:val="nil"/>
          <w:between w:val="nil"/>
        </w:pBdr>
        <w:tabs>
          <w:tab w:val="left" w:pos="432"/>
          <w:tab w:val="left" w:pos="2396"/>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Report on implementation of the plan to increase charter capital approved by the General Meeting of Shareholders according to General Mandate No. 01/23/NQ-DHDCD dated April 26, 2023;</w:t>
      </w:r>
    </w:p>
    <w:p w14:paraId="7243F912" w14:textId="77777777" w:rsidR="00FA3763" w:rsidRPr="00C86700" w:rsidRDefault="008B42A3" w:rsidP="007F4E1E">
      <w:pPr>
        <w:numPr>
          <w:ilvl w:val="0"/>
          <w:numId w:val="3"/>
        </w:numPr>
        <w:pBdr>
          <w:top w:val="nil"/>
          <w:left w:val="nil"/>
          <w:bottom w:val="nil"/>
          <w:right w:val="nil"/>
          <w:between w:val="nil"/>
        </w:pBdr>
        <w:tabs>
          <w:tab w:val="left" w:pos="432"/>
          <w:tab w:val="left" w:pos="2396"/>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results of business activities in 2023.</w:t>
      </w:r>
    </w:p>
    <w:p w14:paraId="34B7099F" w14:textId="77777777" w:rsidR="00FA3763" w:rsidRPr="00C86700" w:rsidRDefault="008B42A3" w:rsidP="007F4E1E">
      <w:pPr>
        <w:numPr>
          <w:ilvl w:val="0"/>
          <w:numId w:val="3"/>
        </w:numPr>
        <w:pBdr>
          <w:top w:val="nil"/>
          <w:left w:val="nil"/>
          <w:bottom w:val="nil"/>
          <w:right w:val="nil"/>
          <w:between w:val="nil"/>
        </w:pBdr>
        <w:tabs>
          <w:tab w:val="left" w:pos="432"/>
          <w:tab w:val="left" w:pos="2396"/>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implementation results of the contents under the authorities of the General Meeting of Shareholders authorized to the Board of Directors.</w:t>
      </w:r>
    </w:p>
    <w:p w14:paraId="6CF8E9C2"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2. Approve Proposal No. 48/24/BVBank/TT-HDQT dated March 28, 2024 of the Board of Directors on BVBank's operating orientation and business plan in 2024.</w:t>
      </w:r>
    </w:p>
    <w:p w14:paraId="242C9EE1" w14:textId="77777777" w:rsidR="00FA3763" w:rsidRPr="00C86700" w:rsidRDefault="008B42A3" w:rsidP="007F4E1E">
      <w:pPr>
        <w:numPr>
          <w:ilvl w:val="0"/>
          <w:numId w:val="4"/>
        </w:numPr>
        <w:pBdr>
          <w:top w:val="nil"/>
          <w:left w:val="nil"/>
          <w:bottom w:val="nil"/>
          <w:right w:val="nil"/>
          <w:between w:val="nil"/>
        </w:pBdr>
        <w:tabs>
          <w:tab w:val="left" w:pos="432"/>
          <w:tab w:val="left" w:pos="2411"/>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Board of Directors' orientation solutions including:</w:t>
      </w:r>
    </w:p>
    <w:p w14:paraId="5ED7EAB0" w14:textId="77777777" w:rsidR="00FA3763" w:rsidRPr="00C86700" w:rsidRDefault="008B42A3" w:rsidP="007F4E1E">
      <w:pPr>
        <w:numPr>
          <w:ilvl w:val="0"/>
          <w:numId w:val="3"/>
        </w:numPr>
        <w:pBdr>
          <w:top w:val="nil"/>
          <w:left w:val="nil"/>
          <w:bottom w:val="nil"/>
          <w:right w:val="nil"/>
          <w:between w:val="nil"/>
        </w:pBdr>
        <w:tabs>
          <w:tab w:val="left" w:pos="432"/>
          <w:tab w:val="left" w:pos="2396"/>
        </w:tabs>
        <w:spacing w:after="120" w:line="360" w:lineRule="auto"/>
        <w:jc w:val="both"/>
        <w:rPr>
          <w:rFonts w:ascii="Arial" w:eastAsia="Arial" w:hAnsi="Arial" w:cs="Arial"/>
          <w:color w:val="010000"/>
          <w:sz w:val="20"/>
          <w:szCs w:val="20"/>
        </w:rPr>
      </w:pPr>
      <w:r w:rsidRPr="00C86700">
        <w:rPr>
          <w:rFonts w:ascii="Arial" w:hAnsi="Arial" w:cs="Arial"/>
          <w:color w:val="010000"/>
          <w:sz w:val="20"/>
        </w:rPr>
        <w:t>Promote growth and closely monitor credit quality, promote small-scale lending and consumer credit through digital banking channels.</w:t>
      </w:r>
    </w:p>
    <w:p w14:paraId="1C5350AF" w14:textId="77777777" w:rsidR="00FA3763" w:rsidRPr="00C86700" w:rsidRDefault="008B42A3" w:rsidP="007F4E1E">
      <w:pPr>
        <w:numPr>
          <w:ilvl w:val="0"/>
          <w:numId w:val="3"/>
        </w:numPr>
        <w:pBdr>
          <w:top w:val="nil"/>
          <w:left w:val="nil"/>
          <w:bottom w:val="nil"/>
          <w:right w:val="nil"/>
          <w:between w:val="nil"/>
        </w:pBdr>
        <w:tabs>
          <w:tab w:val="left" w:pos="432"/>
          <w:tab w:val="left" w:pos="2396"/>
        </w:tabs>
        <w:spacing w:after="120" w:line="360" w:lineRule="auto"/>
        <w:jc w:val="both"/>
        <w:rPr>
          <w:rFonts w:ascii="Arial" w:eastAsia="Arial" w:hAnsi="Arial" w:cs="Arial"/>
          <w:color w:val="010000"/>
          <w:sz w:val="20"/>
          <w:szCs w:val="20"/>
        </w:rPr>
      </w:pPr>
      <w:r w:rsidRPr="00C86700">
        <w:rPr>
          <w:rFonts w:ascii="Arial" w:hAnsi="Arial" w:cs="Arial"/>
          <w:color w:val="010000"/>
          <w:sz w:val="20"/>
        </w:rPr>
        <w:t>Continue to promote debt handling and bad debt control towards modernizing debt management and collection solutions to increase productivity.</w:t>
      </w:r>
    </w:p>
    <w:p w14:paraId="434B0EE2" w14:textId="77777777" w:rsidR="00FA3763" w:rsidRPr="00C86700" w:rsidRDefault="008B42A3" w:rsidP="007F4E1E">
      <w:pPr>
        <w:numPr>
          <w:ilvl w:val="0"/>
          <w:numId w:val="3"/>
        </w:numPr>
        <w:pBdr>
          <w:top w:val="nil"/>
          <w:left w:val="nil"/>
          <w:bottom w:val="nil"/>
          <w:right w:val="nil"/>
          <w:between w:val="nil"/>
        </w:pBdr>
        <w:tabs>
          <w:tab w:val="left" w:pos="432"/>
          <w:tab w:val="left" w:pos="2396"/>
        </w:tabs>
        <w:spacing w:after="120" w:line="360" w:lineRule="auto"/>
        <w:jc w:val="both"/>
        <w:rPr>
          <w:rFonts w:ascii="Arial" w:eastAsia="Arial" w:hAnsi="Arial" w:cs="Arial"/>
          <w:color w:val="010000"/>
          <w:sz w:val="20"/>
          <w:szCs w:val="20"/>
        </w:rPr>
      </w:pPr>
      <w:r w:rsidRPr="00C86700">
        <w:rPr>
          <w:rFonts w:ascii="Arial" w:hAnsi="Arial" w:cs="Arial"/>
          <w:color w:val="010000"/>
          <w:sz w:val="20"/>
        </w:rPr>
        <w:t>Strengthen the role and develop financial analysis solutions and modern business models in management and operations.</w:t>
      </w:r>
    </w:p>
    <w:p w14:paraId="3186CE9E" w14:textId="77777777" w:rsidR="00FA3763" w:rsidRPr="00C86700" w:rsidRDefault="008B42A3" w:rsidP="007F4E1E">
      <w:pPr>
        <w:numPr>
          <w:ilvl w:val="0"/>
          <w:numId w:val="3"/>
        </w:numPr>
        <w:pBdr>
          <w:top w:val="nil"/>
          <w:left w:val="nil"/>
          <w:bottom w:val="nil"/>
          <w:right w:val="nil"/>
          <w:between w:val="nil"/>
        </w:pBdr>
        <w:tabs>
          <w:tab w:val="left" w:pos="432"/>
          <w:tab w:val="left" w:pos="2396"/>
        </w:tabs>
        <w:spacing w:after="120" w:line="360" w:lineRule="auto"/>
        <w:jc w:val="both"/>
        <w:rPr>
          <w:rFonts w:ascii="Arial" w:eastAsia="Arial" w:hAnsi="Arial" w:cs="Arial"/>
          <w:color w:val="010000"/>
          <w:sz w:val="20"/>
          <w:szCs w:val="20"/>
        </w:rPr>
      </w:pPr>
      <w:r w:rsidRPr="00C86700">
        <w:rPr>
          <w:rFonts w:ascii="Arial" w:hAnsi="Arial" w:cs="Arial"/>
          <w:color w:val="010000"/>
          <w:sz w:val="20"/>
        </w:rPr>
        <w:t>Expand business network in a cautious and balanced direction; prioritize opening new branches, and only opening transaction offices in areas that are absolutely necessary.</w:t>
      </w:r>
    </w:p>
    <w:p w14:paraId="1BB14710" w14:textId="77777777" w:rsidR="00FA3763" w:rsidRPr="00C86700" w:rsidRDefault="008B42A3" w:rsidP="007F4E1E">
      <w:pPr>
        <w:numPr>
          <w:ilvl w:val="0"/>
          <w:numId w:val="3"/>
        </w:numPr>
        <w:pBdr>
          <w:top w:val="nil"/>
          <w:left w:val="nil"/>
          <w:bottom w:val="nil"/>
          <w:right w:val="nil"/>
          <w:between w:val="nil"/>
        </w:pBdr>
        <w:tabs>
          <w:tab w:val="left" w:pos="432"/>
          <w:tab w:val="left" w:pos="2396"/>
        </w:tabs>
        <w:spacing w:after="120" w:line="360" w:lineRule="auto"/>
        <w:jc w:val="both"/>
        <w:rPr>
          <w:rFonts w:ascii="Arial" w:eastAsia="Arial" w:hAnsi="Arial" w:cs="Arial"/>
          <w:color w:val="010000"/>
          <w:sz w:val="20"/>
          <w:szCs w:val="20"/>
        </w:rPr>
      </w:pPr>
      <w:r w:rsidRPr="00C86700">
        <w:rPr>
          <w:rFonts w:ascii="Arial" w:hAnsi="Arial" w:cs="Arial"/>
          <w:color w:val="010000"/>
          <w:sz w:val="20"/>
        </w:rPr>
        <w:t>Continue to perfect the model in the direction of promoting extensive specialization and combining training to enhance service quality and customer experience.</w:t>
      </w:r>
    </w:p>
    <w:p w14:paraId="7AFFE51C" w14:textId="4A88DB87" w:rsidR="00FA3763" w:rsidRPr="00C86700" w:rsidRDefault="008B42A3" w:rsidP="007F4E1E">
      <w:pPr>
        <w:numPr>
          <w:ilvl w:val="0"/>
          <w:numId w:val="4"/>
        </w:numPr>
        <w:pBdr>
          <w:top w:val="nil"/>
          <w:left w:val="nil"/>
          <w:bottom w:val="nil"/>
          <w:right w:val="nil"/>
          <w:between w:val="nil"/>
        </w:pBdr>
        <w:tabs>
          <w:tab w:val="left" w:pos="432"/>
          <w:tab w:val="left" w:pos="2420"/>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BVBank's financial plan orientation in 2024:</w:t>
      </w:r>
      <w:r w:rsidR="00C86700" w:rsidRPr="00C86700">
        <w:rPr>
          <w:color w:val="010000"/>
        </w:rPr>
        <w:t xml:space="preserve"> </w:t>
      </w:r>
      <w:r w:rsidR="00C86700" w:rsidRPr="00C86700">
        <w:rPr>
          <w:rFonts w:ascii="Arial" w:hAnsi="Arial" w:cs="Arial"/>
          <w:color w:val="010000"/>
          <w:sz w:val="20"/>
        </w:rPr>
        <w:t>(*)</w:t>
      </w:r>
    </w:p>
    <w:p w14:paraId="46055B22" w14:textId="77777777" w:rsidR="00FA3763" w:rsidRPr="00C86700" w:rsidRDefault="008B42A3" w:rsidP="007F4E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6700">
        <w:rPr>
          <w:rFonts w:ascii="Arial" w:hAnsi="Arial" w:cs="Arial"/>
          <w:color w:val="010000"/>
          <w:sz w:val="20"/>
        </w:rPr>
        <w:t>Unit: Billion VND</w:t>
      </w:r>
    </w:p>
    <w:tbl>
      <w:tblPr>
        <w:tblStyle w:val="a"/>
        <w:tblW w:w="5000" w:type="pct"/>
        <w:tblLook w:val="0000" w:firstRow="0" w:lastRow="0" w:firstColumn="0" w:lastColumn="0" w:noHBand="0" w:noVBand="0"/>
      </w:tblPr>
      <w:tblGrid>
        <w:gridCol w:w="3738"/>
        <w:gridCol w:w="2024"/>
        <w:gridCol w:w="1813"/>
        <w:gridCol w:w="1452"/>
      </w:tblGrid>
      <w:tr w:rsidR="00FA3763" w:rsidRPr="00C86700" w14:paraId="7B466C68" w14:textId="77777777" w:rsidTr="00973DC6">
        <w:tc>
          <w:tcPr>
            <w:tcW w:w="2070" w:type="pct"/>
            <w:tcBorders>
              <w:top w:val="single" w:sz="4" w:space="0" w:color="000000"/>
            </w:tcBorders>
            <w:shd w:val="clear" w:color="auto" w:fill="auto"/>
            <w:tcMar>
              <w:top w:w="0" w:type="dxa"/>
              <w:bottom w:w="0" w:type="dxa"/>
            </w:tcMar>
            <w:vAlign w:val="center"/>
          </w:tcPr>
          <w:p w14:paraId="5685F9D9"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Targets</w:t>
            </w:r>
          </w:p>
        </w:tc>
        <w:tc>
          <w:tcPr>
            <w:tcW w:w="1121" w:type="pct"/>
            <w:tcBorders>
              <w:top w:val="single" w:sz="4" w:space="0" w:color="000000"/>
            </w:tcBorders>
            <w:shd w:val="clear" w:color="auto" w:fill="auto"/>
            <w:tcMar>
              <w:top w:w="0" w:type="dxa"/>
              <w:bottom w:w="0" w:type="dxa"/>
            </w:tcMar>
            <w:vAlign w:val="center"/>
          </w:tcPr>
          <w:p w14:paraId="6CCED32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2024 Plan</w:t>
            </w:r>
          </w:p>
        </w:tc>
        <w:tc>
          <w:tcPr>
            <w:tcW w:w="1004" w:type="pct"/>
            <w:tcBorders>
              <w:top w:val="single" w:sz="4" w:space="0" w:color="000000"/>
            </w:tcBorders>
            <w:shd w:val="clear" w:color="auto" w:fill="auto"/>
            <w:tcMar>
              <w:top w:w="0" w:type="dxa"/>
              <w:bottom w:w="0" w:type="dxa"/>
            </w:tcMar>
            <w:vAlign w:val="center"/>
          </w:tcPr>
          <w:p w14:paraId="5587200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2023</w:t>
            </w:r>
          </w:p>
        </w:tc>
        <w:tc>
          <w:tcPr>
            <w:tcW w:w="804" w:type="pct"/>
            <w:tcBorders>
              <w:top w:val="single" w:sz="4" w:space="0" w:color="000000"/>
            </w:tcBorders>
            <w:shd w:val="clear" w:color="auto" w:fill="auto"/>
            <w:tcMar>
              <w:top w:w="0" w:type="dxa"/>
              <w:bottom w:w="0" w:type="dxa"/>
            </w:tcMar>
            <w:vAlign w:val="center"/>
          </w:tcPr>
          <w:p w14:paraId="3BE5D5C3"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Rate (%)</w:t>
            </w:r>
          </w:p>
        </w:tc>
      </w:tr>
      <w:tr w:rsidR="00FA3763" w:rsidRPr="00C86700" w14:paraId="1D59CB5F" w14:textId="77777777" w:rsidTr="00973DC6">
        <w:tc>
          <w:tcPr>
            <w:tcW w:w="2070" w:type="pct"/>
            <w:tcBorders>
              <w:top w:val="single" w:sz="4" w:space="0" w:color="000000"/>
            </w:tcBorders>
            <w:shd w:val="clear" w:color="auto" w:fill="auto"/>
            <w:tcMar>
              <w:top w:w="0" w:type="dxa"/>
              <w:bottom w:w="0" w:type="dxa"/>
            </w:tcMar>
            <w:vAlign w:val="center"/>
          </w:tcPr>
          <w:p w14:paraId="57B9D86D"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lastRenderedPageBreak/>
              <w:t>Total assets</w:t>
            </w:r>
          </w:p>
        </w:tc>
        <w:tc>
          <w:tcPr>
            <w:tcW w:w="1121" w:type="pct"/>
            <w:tcBorders>
              <w:top w:val="single" w:sz="4" w:space="0" w:color="000000"/>
            </w:tcBorders>
            <w:shd w:val="clear" w:color="auto" w:fill="auto"/>
            <w:tcMar>
              <w:top w:w="0" w:type="dxa"/>
              <w:bottom w:w="0" w:type="dxa"/>
            </w:tcMar>
            <w:vAlign w:val="center"/>
          </w:tcPr>
          <w:p w14:paraId="0FB0B72D"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100,000</w:t>
            </w:r>
          </w:p>
        </w:tc>
        <w:tc>
          <w:tcPr>
            <w:tcW w:w="1004" w:type="pct"/>
            <w:tcBorders>
              <w:top w:val="single" w:sz="4" w:space="0" w:color="000000"/>
            </w:tcBorders>
            <w:shd w:val="clear" w:color="auto" w:fill="auto"/>
            <w:tcMar>
              <w:top w:w="0" w:type="dxa"/>
              <w:bottom w:w="0" w:type="dxa"/>
            </w:tcMar>
            <w:vAlign w:val="center"/>
          </w:tcPr>
          <w:p w14:paraId="096FEA3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87,884</w:t>
            </w:r>
          </w:p>
        </w:tc>
        <w:tc>
          <w:tcPr>
            <w:tcW w:w="804" w:type="pct"/>
            <w:tcBorders>
              <w:top w:val="single" w:sz="4" w:space="0" w:color="000000"/>
            </w:tcBorders>
            <w:shd w:val="clear" w:color="auto" w:fill="auto"/>
            <w:tcMar>
              <w:top w:w="0" w:type="dxa"/>
              <w:bottom w:w="0" w:type="dxa"/>
            </w:tcMar>
            <w:vAlign w:val="center"/>
          </w:tcPr>
          <w:p w14:paraId="257890DA"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14%</w:t>
            </w:r>
          </w:p>
        </w:tc>
      </w:tr>
      <w:tr w:rsidR="00FA3763" w:rsidRPr="00C86700" w14:paraId="1B8F138F" w14:textId="77777777" w:rsidTr="00973DC6">
        <w:tc>
          <w:tcPr>
            <w:tcW w:w="2070" w:type="pct"/>
            <w:shd w:val="clear" w:color="auto" w:fill="auto"/>
            <w:tcMar>
              <w:top w:w="0" w:type="dxa"/>
              <w:bottom w:w="0" w:type="dxa"/>
            </w:tcMar>
            <w:vAlign w:val="center"/>
          </w:tcPr>
          <w:p w14:paraId="18DBBCA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Mobilization from customers</w:t>
            </w:r>
          </w:p>
        </w:tc>
        <w:tc>
          <w:tcPr>
            <w:tcW w:w="1121" w:type="pct"/>
            <w:shd w:val="clear" w:color="auto" w:fill="auto"/>
            <w:tcMar>
              <w:top w:w="0" w:type="dxa"/>
              <w:bottom w:w="0" w:type="dxa"/>
            </w:tcMar>
            <w:vAlign w:val="center"/>
          </w:tcPr>
          <w:p w14:paraId="40E01A0C"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74,086</w:t>
            </w:r>
          </w:p>
        </w:tc>
        <w:tc>
          <w:tcPr>
            <w:tcW w:w="1004" w:type="pct"/>
            <w:shd w:val="clear" w:color="auto" w:fill="auto"/>
            <w:tcMar>
              <w:top w:w="0" w:type="dxa"/>
              <w:bottom w:w="0" w:type="dxa"/>
            </w:tcMar>
            <w:vAlign w:val="center"/>
          </w:tcPr>
          <w:p w14:paraId="7054029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67,162</w:t>
            </w:r>
          </w:p>
        </w:tc>
        <w:tc>
          <w:tcPr>
            <w:tcW w:w="804" w:type="pct"/>
            <w:shd w:val="clear" w:color="auto" w:fill="auto"/>
            <w:tcMar>
              <w:top w:w="0" w:type="dxa"/>
              <w:bottom w:w="0" w:type="dxa"/>
            </w:tcMar>
            <w:vAlign w:val="center"/>
          </w:tcPr>
          <w:p w14:paraId="61F5537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10%</w:t>
            </w:r>
          </w:p>
        </w:tc>
      </w:tr>
      <w:tr w:rsidR="00FA3763" w:rsidRPr="00C86700" w14:paraId="67F7E28C" w14:textId="77777777" w:rsidTr="00973DC6">
        <w:tc>
          <w:tcPr>
            <w:tcW w:w="2070" w:type="pct"/>
            <w:shd w:val="clear" w:color="auto" w:fill="auto"/>
            <w:tcMar>
              <w:top w:w="0" w:type="dxa"/>
              <w:bottom w:w="0" w:type="dxa"/>
            </w:tcMar>
            <w:vAlign w:val="center"/>
          </w:tcPr>
          <w:p w14:paraId="5AEE11F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Outstanding credit</w:t>
            </w:r>
          </w:p>
        </w:tc>
        <w:tc>
          <w:tcPr>
            <w:tcW w:w="1121" w:type="pct"/>
            <w:shd w:val="clear" w:color="auto" w:fill="auto"/>
            <w:tcMar>
              <w:top w:w="0" w:type="dxa"/>
              <w:bottom w:w="0" w:type="dxa"/>
            </w:tcMar>
            <w:vAlign w:val="center"/>
          </w:tcPr>
          <w:p w14:paraId="7A331ED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65,937</w:t>
            </w:r>
          </w:p>
        </w:tc>
        <w:tc>
          <w:tcPr>
            <w:tcW w:w="1004" w:type="pct"/>
            <w:shd w:val="clear" w:color="auto" w:fill="auto"/>
            <w:tcMar>
              <w:top w:w="0" w:type="dxa"/>
              <w:bottom w:w="0" w:type="dxa"/>
            </w:tcMar>
            <w:vAlign w:val="center"/>
          </w:tcPr>
          <w:p w14:paraId="16332B93"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57,768</w:t>
            </w:r>
          </w:p>
        </w:tc>
        <w:tc>
          <w:tcPr>
            <w:tcW w:w="804" w:type="pct"/>
            <w:shd w:val="clear" w:color="auto" w:fill="auto"/>
            <w:tcMar>
              <w:top w:w="0" w:type="dxa"/>
              <w:bottom w:w="0" w:type="dxa"/>
            </w:tcMar>
            <w:vAlign w:val="center"/>
          </w:tcPr>
          <w:p w14:paraId="441B577B" w14:textId="75406F15"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14%</w:t>
            </w:r>
            <w:r w:rsidR="00C86700" w:rsidRPr="00C86700">
              <w:rPr>
                <w:rFonts w:ascii="Arial" w:hAnsi="Arial" w:cs="Arial"/>
                <w:color w:val="010000"/>
                <w:sz w:val="20"/>
              </w:rPr>
              <w:t>(**)</w:t>
            </w:r>
          </w:p>
        </w:tc>
      </w:tr>
      <w:tr w:rsidR="00FA3763" w:rsidRPr="00C86700" w14:paraId="26D29A47" w14:textId="77777777" w:rsidTr="00973DC6">
        <w:tc>
          <w:tcPr>
            <w:tcW w:w="2070" w:type="pct"/>
            <w:shd w:val="clear" w:color="auto" w:fill="auto"/>
            <w:tcMar>
              <w:top w:w="0" w:type="dxa"/>
              <w:bottom w:w="0" w:type="dxa"/>
            </w:tcMar>
            <w:vAlign w:val="center"/>
          </w:tcPr>
          <w:p w14:paraId="2BBAFF09"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Profit before tax</w:t>
            </w:r>
          </w:p>
        </w:tc>
        <w:tc>
          <w:tcPr>
            <w:tcW w:w="1121" w:type="pct"/>
            <w:shd w:val="clear" w:color="auto" w:fill="auto"/>
            <w:tcMar>
              <w:top w:w="0" w:type="dxa"/>
              <w:bottom w:w="0" w:type="dxa"/>
            </w:tcMar>
            <w:vAlign w:val="center"/>
          </w:tcPr>
          <w:p w14:paraId="3FD6BE82"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200</w:t>
            </w:r>
          </w:p>
        </w:tc>
        <w:tc>
          <w:tcPr>
            <w:tcW w:w="1004" w:type="pct"/>
            <w:shd w:val="clear" w:color="auto" w:fill="auto"/>
            <w:tcMar>
              <w:top w:w="0" w:type="dxa"/>
              <w:bottom w:w="0" w:type="dxa"/>
            </w:tcMar>
            <w:vAlign w:val="center"/>
          </w:tcPr>
          <w:p w14:paraId="2C574A9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72</w:t>
            </w:r>
          </w:p>
        </w:tc>
        <w:tc>
          <w:tcPr>
            <w:tcW w:w="804" w:type="pct"/>
            <w:shd w:val="clear" w:color="auto" w:fill="auto"/>
            <w:tcMar>
              <w:top w:w="0" w:type="dxa"/>
              <w:bottom w:w="0" w:type="dxa"/>
            </w:tcMar>
            <w:vAlign w:val="center"/>
          </w:tcPr>
          <w:p w14:paraId="2BD5094D" w14:textId="77777777" w:rsidR="00FA3763" w:rsidRPr="00C86700" w:rsidRDefault="00FA3763" w:rsidP="007F4E1E">
            <w:pPr>
              <w:spacing w:after="120" w:line="360" w:lineRule="auto"/>
              <w:jc w:val="both"/>
              <w:rPr>
                <w:rFonts w:ascii="Arial" w:eastAsia="Arial" w:hAnsi="Arial" w:cs="Arial"/>
                <w:color w:val="010000"/>
                <w:sz w:val="20"/>
                <w:szCs w:val="20"/>
              </w:rPr>
            </w:pPr>
          </w:p>
        </w:tc>
      </w:tr>
      <w:tr w:rsidR="00FA3763" w:rsidRPr="00C86700" w14:paraId="2082B39C" w14:textId="77777777" w:rsidTr="00973DC6">
        <w:tc>
          <w:tcPr>
            <w:tcW w:w="2070" w:type="pct"/>
            <w:shd w:val="clear" w:color="auto" w:fill="auto"/>
            <w:tcMar>
              <w:top w:w="0" w:type="dxa"/>
              <w:bottom w:w="0" w:type="dxa"/>
            </w:tcMar>
            <w:vAlign w:val="center"/>
          </w:tcPr>
          <w:p w14:paraId="78755E52"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Bad debt rate</w:t>
            </w:r>
          </w:p>
        </w:tc>
        <w:tc>
          <w:tcPr>
            <w:tcW w:w="1121" w:type="pct"/>
            <w:shd w:val="clear" w:color="auto" w:fill="auto"/>
            <w:tcMar>
              <w:top w:w="0" w:type="dxa"/>
              <w:bottom w:w="0" w:type="dxa"/>
            </w:tcMar>
            <w:vAlign w:val="center"/>
          </w:tcPr>
          <w:p w14:paraId="49B06966"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&lt; 3%</w:t>
            </w:r>
          </w:p>
        </w:tc>
        <w:tc>
          <w:tcPr>
            <w:tcW w:w="1004" w:type="pct"/>
            <w:shd w:val="clear" w:color="auto" w:fill="auto"/>
            <w:tcMar>
              <w:top w:w="0" w:type="dxa"/>
              <w:bottom w:w="0" w:type="dxa"/>
            </w:tcMar>
            <w:vAlign w:val="center"/>
          </w:tcPr>
          <w:p w14:paraId="0FC8406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2.79%</w:t>
            </w:r>
          </w:p>
        </w:tc>
        <w:tc>
          <w:tcPr>
            <w:tcW w:w="804" w:type="pct"/>
            <w:shd w:val="clear" w:color="auto" w:fill="auto"/>
            <w:tcMar>
              <w:top w:w="0" w:type="dxa"/>
              <w:bottom w:w="0" w:type="dxa"/>
            </w:tcMar>
            <w:vAlign w:val="center"/>
          </w:tcPr>
          <w:p w14:paraId="105B7ACD" w14:textId="77777777" w:rsidR="00FA3763" w:rsidRPr="00C86700" w:rsidRDefault="00FA3763" w:rsidP="007F4E1E">
            <w:pPr>
              <w:spacing w:after="120" w:line="360" w:lineRule="auto"/>
              <w:jc w:val="both"/>
              <w:rPr>
                <w:rFonts w:ascii="Arial" w:eastAsia="Arial" w:hAnsi="Arial" w:cs="Arial"/>
                <w:color w:val="010000"/>
                <w:sz w:val="20"/>
                <w:szCs w:val="20"/>
              </w:rPr>
            </w:pPr>
          </w:p>
        </w:tc>
      </w:tr>
      <w:tr w:rsidR="00FA3763" w:rsidRPr="00C86700" w14:paraId="40EE31E2" w14:textId="77777777" w:rsidTr="00973DC6">
        <w:tc>
          <w:tcPr>
            <w:tcW w:w="2070" w:type="pct"/>
            <w:shd w:val="clear" w:color="auto" w:fill="auto"/>
            <w:tcMar>
              <w:top w:w="0" w:type="dxa"/>
              <w:bottom w:w="0" w:type="dxa"/>
            </w:tcMar>
            <w:vAlign w:val="center"/>
          </w:tcPr>
          <w:p w14:paraId="513136CC"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Network development (business unit)</w:t>
            </w:r>
          </w:p>
        </w:tc>
        <w:tc>
          <w:tcPr>
            <w:tcW w:w="1121" w:type="pct"/>
            <w:shd w:val="clear" w:color="auto" w:fill="auto"/>
            <w:tcMar>
              <w:top w:w="0" w:type="dxa"/>
              <w:bottom w:w="0" w:type="dxa"/>
            </w:tcMar>
            <w:vAlign w:val="center"/>
          </w:tcPr>
          <w:p w14:paraId="681002C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126</w:t>
            </w:r>
          </w:p>
        </w:tc>
        <w:tc>
          <w:tcPr>
            <w:tcW w:w="1004" w:type="pct"/>
            <w:shd w:val="clear" w:color="auto" w:fill="auto"/>
            <w:tcMar>
              <w:top w:w="0" w:type="dxa"/>
              <w:bottom w:w="0" w:type="dxa"/>
            </w:tcMar>
            <w:vAlign w:val="center"/>
          </w:tcPr>
          <w:p w14:paraId="49468D5D"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116</w:t>
            </w:r>
          </w:p>
        </w:tc>
        <w:tc>
          <w:tcPr>
            <w:tcW w:w="804" w:type="pct"/>
            <w:shd w:val="clear" w:color="auto" w:fill="auto"/>
            <w:tcMar>
              <w:top w:w="0" w:type="dxa"/>
              <w:bottom w:w="0" w:type="dxa"/>
            </w:tcMar>
            <w:vAlign w:val="center"/>
          </w:tcPr>
          <w:p w14:paraId="32AA0E2A"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9%</w:t>
            </w:r>
          </w:p>
        </w:tc>
      </w:tr>
    </w:tbl>
    <w:p w14:paraId="5A7069A8" w14:textId="7F6A58C3" w:rsidR="00C86700" w:rsidRPr="00C86700" w:rsidRDefault="008B42A3" w:rsidP="007F4E1E">
      <w:pPr>
        <w:pBdr>
          <w:top w:val="nil"/>
          <w:left w:val="nil"/>
          <w:bottom w:val="nil"/>
          <w:right w:val="nil"/>
          <w:between w:val="nil"/>
        </w:pBdr>
        <w:spacing w:after="120" w:line="360" w:lineRule="auto"/>
        <w:jc w:val="both"/>
        <w:rPr>
          <w:rFonts w:ascii="Arial" w:hAnsi="Arial" w:cs="Arial"/>
          <w:color w:val="010000"/>
          <w:sz w:val="20"/>
        </w:rPr>
      </w:pPr>
      <w:r w:rsidRPr="00C86700">
        <w:rPr>
          <w:rFonts w:ascii="Arial" w:hAnsi="Arial" w:cs="Arial"/>
          <w:color w:val="010000"/>
          <w:sz w:val="20"/>
        </w:rPr>
        <w:t>‎‎</w:t>
      </w:r>
      <w:r w:rsidR="00C86700" w:rsidRPr="00C86700">
        <w:rPr>
          <w:rFonts w:ascii="Arial" w:hAnsi="Arial" w:cs="Arial"/>
          <w:color w:val="010000"/>
          <w:sz w:val="20"/>
        </w:rPr>
        <w:t>(**) Subject to the approval of the State Bank</w:t>
      </w:r>
    </w:p>
    <w:p w14:paraId="44803E40" w14:textId="249134B0" w:rsidR="00C86700" w:rsidRPr="00C86700" w:rsidRDefault="00C86700" w:rsidP="007F4E1E">
      <w:pPr>
        <w:pBdr>
          <w:top w:val="nil"/>
          <w:left w:val="nil"/>
          <w:bottom w:val="nil"/>
          <w:right w:val="nil"/>
          <w:between w:val="nil"/>
        </w:pBdr>
        <w:spacing w:after="120" w:line="360" w:lineRule="auto"/>
        <w:jc w:val="both"/>
        <w:rPr>
          <w:rFonts w:ascii="Arial" w:hAnsi="Arial" w:cs="Arial"/>
          <w:color w:val="010000"/>
          <w:sz w:val="20"/>
        </w:rPr>
      </w:pPr>
      <w:r w:rsidRPr="00C86700">
        <w:rPr>
          <w:rFonts w:ascii="Arial" w:hAnsi="Arial" w:cs="Arial"/>
          <w:color w:val="010000"/>
          <w:sz w:val="20"/>
        </w:rPr>
        <w:t>(*) In order to create flexible conditions for the Board of Directors in Bank management, the General Meeting of Shareholders authorized the Board of Directors to adjust the targets in the business plan 2024 in accordance with the actual situation under the direction of the Governmen, the State Bank of Vietnam and BVBank's business activities.</w:t>
      </w:r>
    </w:p>
    <w:p w14:paraId="0CFC6FAA" w14:textId="43F26101"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3. Approve Report No. 876A/24/BVBank/BC-TC dated March 27, 2024 of the Executive Board on the overview report of fiscal year 2023 and the plan to implement business orientations in 2024.</w:t>
      </w:r>
    </w:p>
    <w:p w14:paraId="4B5487F3" w14:textId="77777777" w:rsidR="00FA3763" w:rsidRPr="00C86700" w:rsidRDefault="008B42A3" w:rsidP="007F4E1E">
      <w:pPr>
        <w:numPr>
          <w:ilvl w:val="0"/>
          <w:numId w:val="5"/>
        </w:numPr>
        <w:pBdr>
          <w:top w:val="nil"/>
          <w:left w:val="nil"/>
          <w:bottom w:val="nil"/>
          <w:right w:val="nil"/>
          <w:between w:val="nil"/>
        </w:pBdr>
        <w:tabs>
          <w:tab w:val="left" w:pos="432"/>
          <w:tab w:val="left" w:pos="2331"/>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Report on the results of implementing main targets in 2023 and business activ</w:t>
      </w:r>
      <w:bookmarkStart w:id="0" w:name="_GoBack"/>
      <w:bookmarkEnd w:id="0"/>
      <w:r w:rsidRPr="00C86700">
        <w:rPr>
          <w:rFonts w:ascii="Arial" w:hAnsi="Arial" w:cs="Arial"/>
          <w:color w:val="010000"/>
          <w:sz w:val="20"/>
        </w:rPr>
        <w:t>ities in 2023:</w:t>
      </w:r>
    </w:p>
    <w:p w14:paraId="04F0622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Unit: Billion VND</w:t>
      </w:r>
    </w:p>
    <w:tbl>
      <w:tblPr>
        <w:tblStyle w:val="a0"/>
        <w:tblW w:w="5000" w:type="pct"/>
        <w:tblLook w:val="0000" w:firstRow="0" w:lastRow="0" w:firstColumn="0" w:lastColumn="0" w:noHBand="0" w:noVBand="0"/>
      </w:tblPr>
      <w:tblGrid>
        <w:gridCol w:w="3071"/>
        <w:gridCol w:w="1401"/>
        <w:gridCol w:w="915"/>
        <w:gridCol w:w="919"/>
        <w:gridCol w:w="919"/>
        <w:gridCol w:w="905"/>
        <w:gridCol w:w="897"/>
      </w:tblGrid>
      <w:tr w:rsidR="00FA3763" w:rsidRPr="00C86700" w14:paraId="1B87D6F1" w14:textId="77777777" w:rsidTr="00973DC6">
        <w:tc>
          <w:tcPr>
            <w:tcW w:w="1701" w:type="pct"/>
            <w:tcBorders>
              <w:top w:val="single" w:sz="4" w:space="0" w:color="000000"/>
            </w:tcBorders>
            <w:shd w:val="clear" w:color="auto" w:fill="auto"/>
            <w:tcMar>
              <w:top w:w="0" w:type="dxa"/>
              <w:bottom w:w="0" w:type="dxa"/>
            </w:tcMar>
            <w:vAlign w:val="center"/>
          </w:tcPr>
          <w:p w14:paraId="14F222B9"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Targets for 5 years</w:t>
            </w:r>
          </w:p>
        </w:tc>
        <w:tc>
          <w:tcPr>
            <w:tcW w:w="776" w:type="pct"/>
            <w:tcBorders>
              <w:top w:val="single" w:sz="4" w:space="0" w:color="000000"/>
            </w:tcBorders>
            <w:shd w:val="clear" w:color="auto" w:fill="auto"/>
            <w:tcMar>
              <w:top w:w="0" w:type="dxa"/>
              <w:bottom w:w="0" w:type="dxa"/>
            </w:tcMar>
            <w:vAlign w:val="center"/>
          </w:tcPr>
          <w:p w14:paraId="282AE1A9"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2023</w:t>
            </w:r>
          </w:p>
        </w:tc>
        <w:tc>
          <w:tcPr>
            <w:tcW w:w="507" w:type="pct"/>
            <w:tcBorders>
              <w:top w:val="single" w:sz="4" w:space="0" w:color="000000"/>
            </w:tcBorders>
            <w:shd w:val="clear" w:color="auto" w:fill="auto"/>
            <w:tcMar>
              <w:top w:w="0" w:type="dxa"/>
              <w:bottom w:w="0" w:type="dxa"/>
            </w:tcMar>
            <w:vAlign w:val="center"/>
          </w:tcPr>
          <w:p w14:paraId="101FCAB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2022</w:t>
            </w:r>
          </w:p>
        </w:tc>
        <w:tc>
          <w:tcPr>
            <w:tcW w:w="509" w:type="pct"/>
            <w:tcBorders>
              <w:top w:val="single" w:sz="4" w:space="0" w:color="000000"/>
            </w:tcBorders>
            <w:shd w:val="clear" w:color="auto" w:fill="auto"/>
            <w:tcMar>
              <w:top w:w="0" w:type="dxa"/>
              <w:bottom w:w="0" w:type="dxa"/>
            </w:tcMar>
            <w:vAlign w:val="center"/>
          </w:tcPr>
          <w:p w14:paraId="2EAFA7E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2021</w:t>
            </w:r>
          </w:p>
        </w:tc>
        <w:tc>
          <w:tcPr>
            <w:tcW w:w="509" w:type="pct"/>
            <w:tcBorders>
              <w:top w:val="single" w:sz="4" w:space="0" w:color="000000"/>
            </w:tcBorders>
            <w:shd w:val="clear" w:color="auto" w:fill="auto"/>
            <w:tcMar>
              <w:top w:w="0" w:type="dxa"/>
              <w:bottom w:w="0" w:type="dxa"/>
            </w:tcMar>
            <w:vAlign w:val="center"/>
          </w:tcPr>
          <w:p w14:paraId="23C99E0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2020</w:t>
            </w:r>
          </w:p>
        </w:tc>
        <w:tc>
          <w:tcPr>
            <w:tcW w:w="501" w:type="pct"/>
            <w:tcBorders>
              <w:top w:val="single" w:sz="4" w:space="0" w:color="000000"/>
            </w:tcBorders>
            <w:shd w:val="clear" w:color="auto" w:fill="auto"/>
            <w:tcMar>
              <w:top w:w="0" w:type="dxa"/>
              <w:bottom w:w="0" w:type="dxa"/>
            </w:tcMar>
            <w:vAlign w:val="center"/>
          </w:tcPr>
          <w:p w14:paraId="08BFC969"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2019</w:t>
            </w:r>
          </w:p>
        </w:tc>
        <w:tc>
          <w:tcPr>
            <w:tcW w:w="497" w:type="pct"/>
            <w:tcBorders>
              <w:top w:val="single" w:sz="4" w:space="0" w:color="000000"/>
            </w:tcBorders>
            <w:shd w:val="clear" w:color="auto" w:fill="auto"/>
            <w:tcMar>
              <w:top w:w="0" w:type="dxa"/>
              <w:bottom w:w="0" w:type="dxa"/>
            </w:tcMar>
            <w:vAlign w:val="center"/>
          </w:tcPr>
          <w:p w14:paraId="409E7F56"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23/19</w:t>
            </w:r>
          </w:p>
        </w:tc>
      </w:tr>
      <w:tr w:rsidR="00FA3763" w:rsidRPr="00C86700" w14:paraId="3997E64C" w14:textId="77777777" w:rsidTr="00973DC6">
        <w:tc>
          <w:tcPr>
            <w:tcW w:w="1701" w:type="pct"/>
            <w:tcBorders>
              <w:top w:val="single" w:sz="4" w:space="0" w:color="000000"/>
            </w:tcBorders>
            <w:shd w:val="clear" w:color="auto" w:fill="auto"/>
            <w:tcMar>
              <w:top w:w="0" w:type="dxa"/>
              <w:bottom w:w="0" w:type="dxa"/>
            </w:tcMar>
            <w:vAlign w:val="center"/>
          </w:tcPr>
          <w:p w14:paraId="454DA71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Total assets</w:t>
            </w:r>
          </w:p>
        </w:tc>
        <w:tc>
          <w:tcPr>
            <w:tcW w:w="776" w:type="pct"/>
            <w:tcBorders>
              <w:top w:val="single" w:sz="4" w:space="0" w:color="000000"/>
            </w:tcBorders>
            <w:shd w:val="clear" w:color="auto" w:fill="auto"/>
            <w:tcMar>
              <w:top w:w="0" w:type="dxa"/>
              <w:bottom w:w="0" w:type="dxa"/>
            </w:tcMar>
            <w:vAlign w:val="center"/>
          </w:tcPr>
          <w:p w14:paraId="4F0F87B3"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87,884</w:t>
            </w:r>
          </w:p>
        </w:tc>
        <w:tc>
          <w:tcPr>
            <w:tcW w:w="507" w:type="pct"/>
            <w:tcBorders>
              <w:top w:val="single" w:sz="4" w:space="0" w:color="000000"/>
            </w:tcBorders>
            <w:shd w:val="clear" w:color="auto" w:fill="auto"/>
            <w:tcMar>
              <w:top w:w="0" w:type="dxa"/>
              <w:bottom w:w="0" w:type="dxa"/>
            </w:tcMar>
            <w:vAlign w:val="center"/>
          </w:tcPr>
          <w:p w14:paraId="21D5CB46"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79,067</w:t>
            </w:r>
          </w:p>
        </w:tc>
        <w:tc>
          <w:tcPr>
            <w:tcW w:w="509" w:type="pct"/>
            <w:tcBorders>
              <w:top w:val="single" w:sz="4" w:space="0" w:color="000000"/>
            </w:tcBorders>
            <w:shd w:val="clear" w:color="auto" w:fill="auto"/>
            <w:tcMar>
              <w:top w:w="0" w:type="dxa"/>
              <w:bottom w:w="0" w:type="dxa"/>
            </w:tcMar>
            <w:vAlign w:val="center"/>
          </w:tcPr>
          <w:p w14:paraId="21E40FD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76,511</w:t>
            </w:r>
          </w:p>
        </w:tc>
        <w:tc>
          <w:tcPr>
            <w:tcW w:w="509" w:type="pct"/>
            <w:tcBorders>
              <w:top w:val="single" w:sz="4" w:space="0" w:color="000000"/>
            </w:tcBorders>
            <w:shd w:val="clear" w:color="auto" w:fill="auto"/>
            <w:tcMar>
              <w:top w:w="0" w:type="dxa"/>
              <w:bottom w:w="0" w:type="dxa"/>
            </w:tcMar>
            <w:vAlign w:val="center"/>
          </w:tcPr>
          <w:p w14:paraId="453FF1DC"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61,102</w:t>
            </w:r>
          </w:p>
        </w:tc>
        <w:tc>
          <w:tcPr>
            <w:tcW w:w="501" w:type="pct"/>
            <w:tcBorders>
              <w:top w:val="single" w:sz="4" w:space="0" w:color="000000"/>
            </w:tcBorders>
            <w:shd w:val="clear" w:color="auto" w:fill="auto"/>
            <w:tcMar>
              <w:top w:w="0" w:type="dxa"/>
              <w:bottom w:w="0" w:type="dxa"/>
            </w:tcMar>
            <w:vAlign w:val="center"/>
          </w:tcPr>
          <w:p w14:paraId="412E677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51,905</w:t>
            </w:r>
          </w:p>
        </w:tc>
        <w:tc>
          <w:tcPr>
            <w:tcW w:w="497" w:type="pct"/>
            <w:tcBorders>
              <w:top w:val="single" w:sz="4" w:space="0" w:color="000000"/>
            </w:tcBorders>
            <w:shd w:val="clear" w:color="auto" w:fill="auto"/>
            <w:tcMar>
              <w:top w:w="0" w:type="dxa"/>
              <w:bottom w:w="0" w:type="dxa"/>
            </w:tcMar>
            <w:vAlign w:val="center"/>
          </w:tcPr>
          <w:p w14:paraId="2C43A183"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1.7</w:t>
            </w:r>
          </w:p>
        </w:tc>
      </w:tr>
      <w:tr w:rsidR="00FA3763" w:rsidRPr="00C86700" w14:paraId="7D2BC4C6" w14:textId="77777777" w:rsidTr="00973DC6">
        <w:tc>
          <w:tcPr>
            <w:tcW w:w="1701" w:type="pct"/>
            <w:shd w:val="clear" w:color="auto" w:fill="auto"/>
            <w:tcMar>
              <w:top w:w="0" w:type="dxa"/>
              <w:bottom w:w="0" w:type="dxa"/>
            </w:tcMar>
            <w:vAlign w:val="center"/>
          </w:tcPr>
          <w:p w14:paraId="136AC4E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Mobilization from customers</w:t>
            </w:r>
          </w:p>
        </w:tc>
        <w:tc>
          <w:tcPr>
            <w:tcW w:w="776" w:type="pct"/>
            <w:shd w:val="clear" w:color="auto" w:fill="auto"/>
            <w:tcMar>
              <w:top w:w="0" w:type="dxa"/>
              <w:bottom w:w="0" w:type="dxa"/>
            </w:tcMar>
            <w:vAlign w:val="center"/>
          </w:tcPr>
          <w:p w14:paraId="0211B7B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67,162</w:t>
            </w:r>
          </w:p>
        </w:tc>
        <w:tc>
          <w:tcPr>
            <w:tcW w:w="507" w:type="pct"/>
            <w:shd w:val="clear" w:color="auto" w:fill="auto"/>
            <w:tcMar>
              <w:top w:w="0" w:type="dxa"/>
              <w:bottom w:w="0" w:type="dxa"/>
            </w:tcMar>
            <w:vAlign w:val="center"/>
          </w:tcPr>
          <w:p w14:paraId="7CC134AD"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59,614</w:t>
            </w:r>
          </w:p>
        </w:tc>
        <w:tc>
          <w:tcPr>
            <w:tcW w:w="509" w:type="pct"/>
            <w:shd w:val="clear" w:color="auto" w:fill="auto"/>
            <w:tcMar>
              <w:top w:w="0" w:type="dxa"/>
              <w:bottom w:w="0" w:type="dxa"/>
            </w:tcMar>
            <w:vAlign w:val="center"/>
          </w:tcPr>
          <w:p w14:paraId="1B0ECB36"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55,822</w:t>
            </w:r>
          </w:p>
        </w:tc>
        <w:tc>
          <w:tcPr>
            <w:tcW w:w="509" w:type="pct"/>
            <w:shd w:val="clear" w:color="auto" w:fill="auto"/>
            <w:tcMar>
              <w:top w:w="0" w:type="dxa"/>
              <w:bottom w:w="0" w:type="dxa"/>
            </w:tcMar>
            <w:vAlign w:val="center"/>
          </w:tcPr>
          <w:p w14:paraId="2196927D"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46,596</w:t>
            </w:r>
          </w:p>
        </w:tc>
        <w:tc>
          <w:tcPr>
            <w:tcW w:w="501" w:type="pct"/>
            <w:shd w:val="clear" w:color="auto" w:fill="auto"/>
            <w:tcMar>
              <w:top w:w="0" w:type="dxa"/>
              <w:bottom w:w="0" w:type="dxa"/>
            </w:tcMar>
            <w:vAlign w:val="center"/>
          </w:tcPr>
          <w:p w14:paraId="287E7DE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37,802</w:t>
            </w:r>
          </w:p>
        </w:tc>
        <w:tc>
          <w:tcPr>
            <w:tcW w:w="497" w:type="pct"/>
            <w:shd w:val="clear" w:color="auto" w:fill="auto"/>
            <w:tcMar>
              <w:top w:w="0" w:type="dxa"/>
              <w:bottom w:w="0" w:type="dxa"/>
            </w:tcMar>
            <w:vAlign w:val="center"/>
          </w:tcPr>
          <w:p w14:paraId="17B1057A"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1.8</w:t>
            </w:r>
          </w:p>
        </w:tc>
      </w:tr>
      <w:tr w:rsidR="00FA3763" w:rsidRPr="00C86700" w14:paraId="51DBB4B6" w14:textId="77777777" w:rsidTr="00973DC6">
        <w:tc>
          <w:tcPr>
            <w:tcW w:w="1701" w:type="pct"/>
            <w:shd w:val="clear" w:color="auto" w:fill="auto"/>
            <w:tcMar>
              <w:top w:w="0" w:type="dxa"/>
              <w:bottom w:w="0" w:type="dxa"/>
            </w:tcMar>
            <w:vAlign w:val="center"/>
          </w:tcPr>
          <w:p w14:paraId="1328ED9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Outstanding credit</w:t>
            </w:r>
          </w:p>
        </w:tc>
        <w:tc>
          <w:tcPr>
            <w:tcW w:w="776" w:type="pct"/>
            <w:shd w:val="clear" w:color="auto" w:fill="auto"/>
            <w:tcMar>
              <w:top w:w="0" w:type="dxa"/>
              <w:bottom w:w="0" w:type="dxa"/>
            </w:tcMar>
            <w:vAlign w:val="center"/>
          </w:tcPr>
          <w:p w14:paraId="2430B2D2"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57,768</w:t>
            </w:r>
          </w:p>
        </w:tc>
        <w:tc>
          <w:tcPr>
            <w:tcW w:w="507" w:type="pct"/>
            <w:shd w:val="clear" w:color="auto" w:fill="auto"/>
            <w:tcMar>
              <w:top w:w="0" w:type="dxa"/>
              <w:bottom w:w="0" w:type="dxa"/>
            </w:tcMar>
            <w:vAlign w:val="center"/>
          </w:tcPr>
          <w:p w14:paraId="7B48F5C2"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50,859</w:t>
            </w:r>
          </w:p>
        </w:tc>
        <w:tc>
          <w:tcPr>
            <w:tcW w:w="509" w:type="pct"/>
            <w:shd w:val="clear" w:color="auto" w:fill="auto"/>
            <w:tcMar>
              <w:top w:w="0" w:type="dxa"/>
              <w:bottom w:w="0" w:type="dxa"/>
            </w:tcMar>
            <w:vAlign w:val="center"/>
          </w:tcPr>
          <w:p w14:paraId="3908FAA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46,409</w:t>
            </w:r>
          </w:p>
        </w:tc>
        <w:tc>
          <w:tcPr>
            <w:tcW w:w="509" w:type="pct"/>
            <w:shd w:val="clear" w:color="auto" w:fill="auto"/>
            <w:tcMar>
              <w:top w:w="0" w:type="dxa"/>
              <w:bottom w:w="0" w:type="dxa"/>
            </w:tcMar>
            <w:vAlign w:val="center"/>
          </w:tcPr>
          <w:p w14:paraId="2884B72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40,121</w:t>
            </w:r>
          </w:p>
        </w:tc>
        <w:tc>
          <w:tcPr>
            <w:tcW w:w="501" w:type="pct"/>
            <w:shd w:val="clear" w:color="auto" w:fill="auto"/>
            <w:tcMar>
              <w:top w:w="0" w:type="dxa"/>
              <w:bottom w:w="0" w:type="dxa"/>
            </w:tcMar>
            <w:vAlign w:val="center"/>
          </w:tcPr>
          <w:p w14:paraId="06732EE2"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34,474</w:t>
            </w:r>
          </w:p>
        </w:tc>
        <w:tc>
          <w:tcPr>
            <w:tcW w:w="497" w:type="pct"/>
            <w:shd w:val="clear" w:color="auto" w:fill="auto"/>
            <w:tcMar>
              <w:top w:w="0" w:type="dxa"/>
              <w:bottom w:w="0" w:type="dxa"/>
            </w:tcMar>
            <w:vAlign w:val="center"/>
          </w:tcPr>
          <w:p w14:paraId="0BDA542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1.7</w:t>
            </w:r>
          </w:p>
        </w:tc>
      </w:tr>
      <w:tr w:rsidR="00FA3763" w:rsidRPr="00C86700" w14:paraId="50CD57E2" w14:textId="77777777" w:rsidTr="00973DC6">
        <w:tc>
          <w:tcPr>
            <w:tcW w:w="1701" w:type="pct"/>
            <w:shd w:val="clear" w:color="auto" w:fill="auto"/>
            <w:tcMar>
              <w:top w:w="0" w:type="dxa"/>
              <w:bottom w:w="0" w:type="dxa"/>
            </w:tcMar>
            <w:vAlign w:val="center"/>
          </w:tcPr>
          <w:p w14:paraId="74B081B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Profit before tax</w:t>
            </w:r>
          </w:p>
        </w:tc>
        <w:tc>
          <w:tcPr>
            <w:tcW w:w="776" w:type="pct"/>
            <w:shd w:val="clear" w:color="auto" w:fill="auto"/>
            <w:tcMar>
              <w:top w:w="0" w:type="dxa"/>
              <w:bottom w:w="0" w:type="dxa"/>
            </w:tcMar>
            <w:vAlign w:val="center"/>
          </w:tcPr>
          <w:p w14:paraId="326CE38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72</w:t>
            </w:r>
          </w:p>
        </w:tc>
        <w:tc>
          <w:tcPr>
            <w:tcW w:w="507" w:type="pct"/>
            <w:shd w:val="clear" w:color="auto" w:fill="auto"/>
            <w:tcMar>
              <w:top w:w="0" w:type="dxa"/>
              <w:bottom w:w="0" w:type="dxa"/>
            </w:tcMar>
            <w:vAlign w:val="center"/>
          </w:tcPr>
          <w:p w14:paraId="1662A08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456</w:t>
            </w:r>
          </w:p>
        </w:tc>
        <w:tc>
          <w:tcPr>
            <w:tcW w:w="509" w:type="pct"/>
            <w:shd w:val="clear" w:color="auto" w:fill="auto"/>
            <w:tcMar>
              <w:top w:w="0" w:type="dxa"/>
              <w:bottom w:w="0" w:type="dxa"/>
            </w:tcMar>
            <w:vAlign w:val="center"/>
          </w:tcPr>
          <w:p w14:paraId="60B4D14D"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311</w:t>
            </w:r>
          </w:p>
        </w:tc>
        <w:tc>
          <w:tcPr>
            <w:tcW w:w="509" w:type="pct"/>
            <w:shd w:val="clear" w:color="auto" w:fill="auto"/>
            <w:tcMar>
              <w:top w:w="0" w:type="dxa"/>
              <w:bottom w:w="0" w:type="dxa"/>
            </w:tcMar>
            <w:vAlign w:val="center"/>
          </w:tcPr>
          <w:p w14:paraId="13CE5FA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201</w:t>
            </w:r>
          </w:p>
        </w:tc>
        <w:tc>
          <w:tcPr>
            <w:tcW w:w="501" w:type="pct"/>
            <w:shd w:val="clear" w:color="auto" w:fill="auto"/>
            <w:tcMar>
              <w:top w:w="0" w:type="dxa"/>
              <w:bottom w:w="0" w:type="dxa"/>
            </w:tcMar>
            <w:vAlign w:val="center"/>
          </w:tcPr>
          <w:p w14:paraId="6F3833A0"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158</w:t>
            </w:r>
          </w:p>
        </w:tc>
        <w:tc>
          <w:tcPr>
            <w:tcW w:w="497" w:type="pct"/>
            <w:shd w:val="clear" w:color="auto" w:fill="auto"/>
            <w:tcMar>
              <w:top w:w="0" w:type="dxa"/>
              <w:bottom w:w="0" w:type="dxa"/>
            </w:tcMar>
            <w:vAlign w:val="center"/>
          </w:tcPr>
          <w:p w14:paraId="5A217689"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0.5</w:t>
            </w:r>
          </w:p>
        </w:tc>
      </w:tr>
      <w:tr w:rsidR="00FA3763" w:rsidRPr="00C86700" w14:paraId="7A46E8F9" w14:textId="77777777" w:rsidTr="00973DC6">
        <w:tc>
          <w:tcPr>
            <w:tcW w:w="1701" w:type="pct"/>
            <w:shd w:val="clear" w:color="auto" w:fill="auto"/>
            <w:tcMar>
              <w:top w:w="0" w:type="dxa"/>
              <w:bottom w:w="0" w:type="dxa"/>
            </w:tcMar>
            <w:vAlign w:val="center"/>
          </w:tcPr>
          <w:p w14:paraId="70B16B7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Bad debt rate (Circular 11)</w:t>
            </w:r>
          </w:p>
        </w:tc>
        <w:tc>
          <w:tcPr>
            <w:tcW w:w="776" w:type="pct"/>
            <w:shd w:val="clear" w:color="auto" w:fill="auto"/>
            <w:tcMar>
              <w:top w:w="0" w:type="dxa"/>
              <w:bottom w:w="0" w:type="dxa"/>
            </w:tcMar>
            <w:vAlign w:val="center"/>
          </w:tcPr>
          <w:p w14:paraId="6173AEE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2.79%</w:t>
            </w:r>
          </w:p>
        </w:tc>
        <w:tc>
          <w:tcPr>
            <w:tcW w:w="507" w:type="pct"/>
            <w:shd w:val="clear" w:color="auto" w:fill="auto"/>
            <w:tcMar>
              <w:top w:w="0" w:type="dxa"/>
              <w:bottom w:w="0" w:type="dxa"/>
            </w:tcMar>
            <w:vAlign w:val="center"/>
          </w:tcPr>
          <w:p w14:paraId="2E0ADB6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2.41%</w:t>
            </w:r>
          </w:p>
        </w:tc>
        <w:tc>
          <w:tcPr>
            <w:tcW w:w="509" w:type="pct"/>
            <w:shd w:val="clear" w:color="auto" w:fill="auto"/>
            <w:tcMar>
              <w:top w:w="0" w:type="dxa"/>
              <w:bottom w:w="0" w:type="dxa"/>
            </w:tcMar>
            <w:vAlign w:val="center"/>
          </w:tcPr>
          <w:p w14:paraId="7190747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2.11%</w:t>
            </w:r>
          </w:p>
        </w:tc>
        <w:tc>
          <w:tcPr>
            <w:tcW w:w="509" w:type="pct"/>
            <w:shd w:val="clear" w:color="auto" w:fill="auto"/>
            <w:tcMar>
              <w:top w:w="0" w:type="dxa"/>
              <w:bottom w:w="0" w:type="dxa"/>
            </w:tcMar>
            <w:vAlign w:val="center"/>
          </w:tcPr>
          <w:p w14:paraId="4DD1800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2.29%</w:t>
            </w:r>
          </w:p>
        </w:tc>
        <w:tc>
          <w:tcPr>
            <w:tcW w:w="501" w:type="pct"/>
            <w:shd w:val="clear" w:color="auto" w:fill="auto"/>
            <w:tcMar>
              <w:top w:w="0" w:type="dxa"/>
              <w:bottom w:w="0" w:type="dxa"/>
            </w:tcMar>
            <w:vAlign w:val="center"/>
          </w:tcPr>
          <w:p w14:paraId="792880CC"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2.03%</w:t>
            </w:r>
          </w:p>
        </w:tc>
        <w:tc>
          <w:tcPr>
            <w:tcW w:w="497" w:type="pct"/>
            <w:shd w:val="clear" w:color="auto" w:fill="auto"/>
            <w:tcMar>
              <w:top w:w="0" w:type="dxa"/>
              <w:bottom w:w="0" w:type="dxa"/>
            </w:tcMar>
            <w:vAlign w:val="center"/>
          </w:tcPr>
          <w:p w14:paraId="21E21B88" w14:textId="77777777" w:rsidR="00FA3763" w:rsidRPr="00C86700" w:rsidRDefault="00FA3763" w:rsidP="007F4E1E">
            <w:pPr>
              <w:spacing w:after="120" w:line="360" w:lineRule="auto"/>
              <w:jc w:val="both"/>
              <w:rPr>
                <w:rFonts w:ascii="Arial" w:eastAsia="Arial" w:hAnsi="Arial" w:cs="Arial"/>
                <w:color w:val="010000"/>
                <w:sz w:val="20"/>
                <w:szCs w:val="20"/>
              </w:rPr>
            </w:pPr>
          </w:p>
        </w:tc>
      </w:tr>
      <w:tr w:rsidR="00FA3763" w:rsidRPr="00C86700" w14:paraId="2B4F5045" w14:textId="77777777" w:rsidTr="00973DC6">
        <w:tc>
          <w:tcPr>
            <w:tcW w:w="1701" w:type="pct"/>
            <w:shd w:val="clear" w:color="auto" w:fill="auto"/>
            <w:tcMar>
              <w:top w:w="0" w:type="dxa"/>
              <w:bottom w:w="0" w:type="dxa"/>
            </w:tcMar>
            <w:vAlign w:val="center"/>
          </w:tcPr>
          <w:p w14:paraId="0D649DFC"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Network development (number of business units)</w:t>
            </w:r>
          </w:p>
        </w:tc>
        <w:tc>
          <w:tcPr>
            <w:tcW w:w="776" w:type="pct"/>
            <w:shd w:val="clear" w:color="auto" w:fill="auto"/>
            <w:tcMar>
              <w:top w:w="0" w:type="dxa"/>
              <w:bottom w:w="0" w:type="dxa"/>
            </w:tcMar>
            <w:vAlign w:val="center"/>
          </w:tcPr>
          <w:p w14:paraId="680D740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116</w:t>
            </w:r>
          </w:p>
        </w:tc>
        <w:tc>
          <w:tcPr>
            <w:tcW w:w="507" w:type="pct"/>
            <w:shd w:val="clear" w:color="auto" w:fill="auto"/>
            <w:tcMar>
              <w:top w:w="0" w:type="dxa"/>
              <w:bottom w:w="0" w:type="dxa"/>
            </w:tcMar>
            <w:vAlign w:val="center"/>
          </w:tcPr>
          <w:p w14:paraId="67294C8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108</w:t>
            </w:r>
          </w:p>
        </w:tc>
        <w:tc>
          <w:tcPr>
            <w:tcW w:w="509" w:type="pct"/>
            <w:shd w:val="clear" w:color="auto" w:fill="auto"/>
            <w:tcMar>
              <w:top w:w="0" w:type="dxa"/>
              <w:bottom w:w="0" w:type="dxa"/>
            </w:tcMar>
            <w:vAlign w:val="center"/>
          </w:tcPr>
          <w:p w14:paraId="366A511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88</w:t>
            </w:r>
          </w:p>
        </w:tc>
        <w:tc>
          <w:tcPr>
            <w:tcW w:w="509" w:type="pct"/>
            <w:shd w:val="clear" w:color="auto" w:fill="auto"/>
            <w:tcMar>
              <w:top w:w="0" w:type="dxa"/>
              <w:bottom w:w="0" w:type="dxa"/>
            </w:tcMar>
            <w:vAlign w:val="center"/>
          </w:tcPr>
          <w:p w14:paraId="27B54B4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87</w:t>
            </w:r>
          </w:p>
        </w:tc>
        <w:tc>
          <w:tcPr>
            <w:tcW w:w="501" w:type="pct"/>
            <w:shd w:val="clear" w:color="auto" w:fill="auto"/>
            <w:tcMar>
              <w:top w:w="0" w:type="dxa"/>
              <w:bottom w:w="0" w:type="dxa"/>
            </w:tcMar>
            <w:vAlign w:val="center"/>
          </w:tcPr>
          <w:p w14:paraId="7115A28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70</w:t>
            </w:r>
          </w:p>
        </w:tc>
        <w:tc>
          <w:tcPr>
            <w:tcW w:w="497" w:type="pct"/>
            <w:shd w:val="clear" w:color="auto" w:fill="auto"/>
            <w:tcMar>
              <w:top w:w="0" w:type="dxa"/>
              <w:bottom w:w="0" w:type="dxa"/>
            </w:tcMar>
            <w:vAlign w:val="center"/>
          </w:tcPr>
          <w:p w14:paraId="660A118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1.7</w:t>
            </w:r>
          </w:p>
        </w:tc>
      </w:tr>
    </w:tbl>
    <w:tbl>
      <w:tblPr>
        <w:tblStyle w:val="a1"/>
        <w:tblW w:w="5000" w:type="pct"/>
        <w:tblLook w:val="0000" w:firstRow="0" w:lastRow="0" w:firstColumn="0" w:lastColumn="0" w:noHBand="0" w:noVBand="0"/>
      </w:tblPr>
      <w:tblGrid>
        <w:gridCol w:w="2933"/>
        <w:gridCol w:w="1521"/>
        <w:gridCol w:w="1299"/>
        <w:gridCol w:w="1201"/>
        <w:gridCol w:w="1107"/>
        <w:gridCol w:w="966"/>
      </w:tblGrid>
      <w:tr w:rsidR="00FA3763" w:rsidRPr="00C86700" w14:paraId="19048D05" w14:textId="77777777" w:rsidTr="00973DC6">
        <w:tc>
          <w:tcPr>
            <w:tcW w:w="1645" w:type="pct"/>
            <w:tcBorders>
              <w:top w:val="single" w:sz="4" w:space="0" w:color="000000"/>
            </w:tcBorders>
            <w:shd w:val="clear" w:color="auto" w:fill="auto"/>
            <w:tcMar>
              <w:top w:w="0" w:type="dxa"/>
              <w:bottom w:w="0" w:type="dxa"/>
            </w:tcMar>
            <w:vAlign w:val="center"/>
          </w:tcPr>
          <w:p w14:paraId="21208C5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Targets</w:t>
            </w:r>
          </w:p>
        </w:tc>
        <w:tc>
          <w:tcPr>
            <w:tcW w:w="863" w:type="pct"/>
            <w:tcBorders>
              <w:top w:val="single" w:sz="4" w:space="0" w:color="000000"/>
            </w:tcBorders>
            <w:shd w:val="clear" w:color="auto" w:fill="auto"/>
            <w:tcMar>
              <w:top w:w="0" w:type="dxa"/>
              <w:bottom w:w="0" w:type="dxa"/>
            </w:tcMar>
            <w:vAlign w:val="center"/>
          </w:tcPr>
          <w:p w14:paraId="78B43BF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2023</w:t>
            </w:r>
          </w:p>
        </w:tc>
        <w:tc>
          <w:tcPr>
            <w:tcW w:w="740" w:type="pct"/>
            <w:tcBorders>
              <w:top w:val="single" w:sz="4" w:space="0" w:color="000000"/>
            </w:tcBorders>
            <w:shd w:val="clear" w:color="auto" w:fill="auto"/>
            <w:tcMar>
              <w:top w:w="0" w:type="dxa"/>
              <w:bottom w:w="0" w:type="dxa"/>
            </w:tcMar>
            <w:vAlign w:val="center"/>
          </w:tcPr>
          <w:p w14:paraId="356C8D0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2023 Plan</w:t>
            </w:r>
          </w:p>
        </w:tc>
        <w:tc>
          <w:tcPr>
            <w:tcW w:w="685" w:type="pct"/>
            <w:tcBorders>
              <w:top w:val="single" w:sz="4" w:space="0" w:color="000000"/>
            </w:tcBorders>
            <w:shd w:val="clear" w:color="auto" w:fill="auto"/>
            <w:tcMar>
              <w:top w:w="0" w:type="dxa"/>
              <w:bottom w:w="0" w:type="dxa"/>
            </w:tcMar>
            <w:vAlign w:val="center"/>
          </w:tcPr>
          <w:p w14:paraId="206C195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2022</w:t>
            </w:r>
          </w:p>
        </w:tc>
        <w:tc>
          <w:tcPr>
            <w:tcW w:w="633" w:type="pct"/>
            <w:tcBorders>
              <w:top w:val="single" w:sz="4" w:space="0" w:color="000000"/>
            </w:tcBorders>
            <w:shd w:val="clear" w:color="auto" w:fill="auto"/>
            <w:tcMar>
              <w:top w:w="0" w:type="dxa"/>
              <w:bottom w:w="0" w:type="dxa"/>
            </w:tcMar>
            <w:vAlign w:val="center"/>
          </w:tcPr>
          <w:p w14:paraId="6E1514D7" w14:textId="7BDF5FA8" w:rsidR="00FA3763" w:rsidRPr="00C86700" w:rsidRDefault="00C86700"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w:t>
            </w:r>
            <w:r w:rsidR="008B42A3" w:rsidRPr="00C86700">
              <w:rPr>
                <w:rFonts w:ascii="Arial" w:hAnsi="Arial" w:cs="Arial"/>
                <w:color w:val="010000"/>
                <w:sz w:val="20"/>
              </w:rPr>
              <w:t>23/Plan</w:t>
            </w:r>
          </w:p>
        </w:tc>
        <w:tc>
          <w:tcPr>
            <w:tcW w:w="434" w:type="pct"/>
            <w:tcBorders>
              <w:top w:val="single" w:sz="4" w:space="0" w:color="000000"/>
            </w:tcBorders>
            <w:shd w:val="clear" w:color="auto" w:fill="auto"/>
            <w:tcMar>
              <w:top w:w="0" w:type="dxa"/>
              <w:bottom w:w="0" w:type="dxa"/>
            </w:tcMar>
            <w:vAlign w:val="center"/>
          </w:tcPr>
          <w:p w14:paraId="39CD6E12" w14:textId="44134135" w:rsidR="00FA3763" w:rsidRPr="00C86700" w:rsidRDefault="00C86700"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20</w:t>
            </w:r>
            <w:r w:rsidR="008B42A3" w:rsidRPr="00C86700">
              <w:rPr>
                <w:rFonts w:ascii="Arial" w:hAnsi="Arial" w:cs="Arial"/>
                <w:color w:val="010000"/>
                <w:sz w:val="20"/>
              </w:rPr>
              <w:t>23/</w:t>
            </w:r>
            <w:r w:rsidRPr="00C86700">
              <w:rPr>
                <w:rFonts w:ascii="Arial" w:hAnsi="Arial" w:cs="Arial"/>
                <w:color w:val="010000"/>
                <w:sz w:val="20"/>
              </w:rPr>
              <w:t>20</w:t>
            </w:r>
            <w:r w:rsidR="008B42A3" w:rsidRPr="00C86700">
              <w:rPr>
                <w:rFonts w:ascii="Arial" w:hAnsi="Arial" w:cs="Arial"/>
                <w:color w:val="010000"/>
                <w:sz w:val="20"/>
              </w:rPr>
              <w:t>22</w:t>
            </w:r>
          </w:p>
        </w:tc>
      </w:tr>
      <w:tr w:rsidR="00FA3763" w:rsidRPr="00C86700" w14:paraId="27BCB972" w14:textId="77777777" w:rsidTr="00973DC6">
        <w:tc>
          <w:tcPr>
            <w:tcW w:w="1645" w:type="pct"/>
            <w:tcBorders>
              <w:top w:val="single" w:sz="4" w:space="0" w:color="000000"/>
            </w:tcBorders>
            <w:shd w:val="clear" w:color="auto" w:fill="auto"/>
            <w:tcMar>
              <w:top w:w="0" w:type="dxa"/>
              <w:bottom w:w="0" w:type="dxa"/>
            </w:tcMar>
            <w:vAlign w:val="center"/>
          </w:tcPr>
          <w:p w14:paraId="5EA2C28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Total operating income</w:t>
            </w:r>
          </w:p>
        </w:tc>
        <w:tc>
          <w:tcPr>
            <w:tcW w:w="863" w:type="pct"/>
            <w:tcBorders>
              <w:top w:val="single" w:sz="4" w:space="0" w:color="000000"/>
            </w:tcBorders>
            <w:shd w:val="clear" w:color="auto" w:fill="auto"/>
            <w:tcMar>
              <w:top w:w="0" w:type="dxa"/>
              <w:bottom w:w="0" w:type="dxa"/>
            </w:tcMar>
            <w:vAlign w:val="center"/>
          </w:tcPr>
          <w:p w14:paraId="250E4483"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1,755</w:t>
            </w:r>
          </w:p>
        </w:tc>
        <w:tc>
          <w:tcPr>
            <w:tcW w:w="740" w:type="pct"/>
            <w:tcBorders>
              <w:top w:val="single" w:sz="4" w:space="0" w:color="000000"/>
            </w:tcBorders>
            <w:shd w:val="clear" w:color="auto" w:fill="auto"/>
            <w:tcMar>
              <w:top w:w="0" w:type="dxa"/>
              <w:bottom w:w="0" w:type="dxa"/>
            </w:tcMar>
            <w:vAlign w:val="center"/>
          </w:tcPr>
          <w:p w14:paraId="2F670C4A"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1,820</w:t>
            </w:r>
          </w:p>
        </w:tc>
        <w:tc>
          <w:tcPr>
            <w:tcW w:w="685" w:type="pct"/>
            <w:tcBorders>
              <w:top w:val="single" w:sz="4" w:space="0" w:color="000000"/>
            </w:tcBorders>
            <w:shd w:val="clear" w:color="auto" w:fill="auto"/>
            <w:tcMar>
              <w:top w:w="0" w:type="dxa"/>
              <w:bottom w:w="0" w:type="dxa"/>
            </w:tcMar>
            <w:vAlign w:val="center"/>
          </w:tcPr>
          <w:p w14:paraId="1F4F3D4A"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1,917</w:t>
            </w:r>
          </w:p>
        </w:tc>
        <w:tc>
          <w:tcPr>
            <w:tcW w:w="633" w:type="pct"/>
            <w:tcBorders>
              <w:top w:val="single" w:sz="4" w:space="0" w:color="000000"/>
            </w:tcBorders>
            <w:shd w:val="clear" w:color="auto" w:fill="auto"/>
            <w:tcMar>
              <w:top w:w="0" w:type="dxa"/>
              <w:bottom w:w="0" w:type="dxa"/>
            </w:tcMar>
            <w:vAlign w:val="center"/>
          </w:tcPr>
          <w:p w14:paraId="3DEF018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96%</w:t>
            </w:r>
          </w:p>
        </w:tc>
        <w:tc>
          <w:tcPr>
            <w:tcW w:w="434" w:type="pct"/>
            <w:tcBorders>
              <w:top w:val="single" w:sz="4" w:space="0" w:color="000000"/>
            </w:tcBorders>
            <w:shd w:val="clear" w:color="auto" w:fill="auto"/>
            <w:tcMar>
              <w:top w:w="0" w:type="dxa"/>
              <w:bottom w:w="0" w:type="dxa"/>
            </w:tcMar>
            <w:vAlign w:val="center"/>
          </w:tcPr>
          <w:p w14:paraId="151A29A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92%</w:t>
            </w:r>
          </w:p>
        </w:tc>
      </w:tr>
      <w:tr w:rsidR="00FA3763" w:rsidRPr="00C86700" w14:paraId="3ED5CE65" w14:textId="77777777" w:rsidTr="00973DC6">
        <w:tc>
          <w:tcPr>
            <w:tcW w:w="1645" w:type="pct"/>
            <w:shd w:val="clear" w:color="auto" w:fill="auto"/>
            <w:tcMar>
              <w:top w:w="0" w:type="dxa"/>
              <w:bottom w:w="0" w:type="dxa"/>
            </w:tcMar>
            <w:vAlign w:val="center"/>
          </w:tcPr>
          <w:p w14:paraId="0E2312B9"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Total operating expenses</w:t>
            </w:r>
          </w:p>
        </w:tc>
        <w:tc>
          <w:tcPr>
            <w:tcW w:w="863" w:type="pct"/>
            <w:shd w:val="clear" w:color="auto" w:fill="auto"/>
            <w:tcMar>
              <w:top w:w="0" w:type="dxa"/>
              <w:bottom w:w="0" w:type="dxa"/>
            </w:tcMar>
            <w:vAlign w:val="center"/>
          </w:tcPr>
          <w:p w14:paraId="7292018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(1,407)</w:t>
            </w:r>
          </w:p>
        </w:tc>
        <w:tc>
          <w:tcPr>
            <w:tcW w:w="740" w:type="pct"/>
            <w:shd w:val="clear" w:color="auto" w:fill="auto"/>
            <w:tcMar>
              <w:top w:w="0" w:type="dxa"/>
              <w:bottom w:w="0" w:type="dxa"/>
            </w:tcMar>
            <w:vAlign w:val="center"/>
          </w:tcPr>
          <w:p w14:paraId="6652367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(1,410)</w:t>
            </w:r>
          </w:p>
        </w:tc>
        <w:tc>
          <w:tcPr>
            <w:tcW w:w="685" w:type="pct"/>
            <w:shd w:val="clear" w:color="auto" w:fill="auto"/>
            <w:tcMar>
              <w:top w:w="0" w:type="dxa"/>
              <w:bottom w:w="0" w:type="dxa"/>
            </w:tcMar>
            <w:vAlign w:val="center"/>
          </w:tcPr>
          <w:p w14:paraId="7B01697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(1,237)</w:t>
            </w:r>
          </w:p>
        </w:tc>
        <w:tc>
          <w:tcPr>
            <w:tcW w:w="633" w:type="pct"/>
            <w:shd w:val="clear" w:color="auto" w:fill="auto"/>
            <w:tcMar>
              <w:top w:w="0" w:type="dxa"/>
              <w:bottom w:w="0" w:type="dxa"/>
            </w:tcMar>
            <w:vAlign w:val="center"/>
          </w:tcPr>
          <w:p w14:paraId="0039124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100%</w:t>
            </w:r>
          </w:p>
        </w:tc>
        <w:tc>
          <w:tcPr>
            <w:tcW w:w="434" w:type="pct"/>
            <w:shd w:val="clear" w:color="auto" w:fill="auto"/>
            <w:tcMar>
              <w:top w:w="0" w:type="dxa"/>
              <w:bottom w:w="0" w:type="dxa"/>
            </w:tcMar>
            <w:vAlign w:val="center"/>
          </w:tcPr>
          <w:p w14:paraId="287F831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114%</w:t>
            </w:r>
          </w:p>
        </w:tc>
      </w:tr>
      <w:tr w:rsidR="00FA3763" w:rsidRPr="00C86700" w14:paraId="029518FF" w14:textId="77777777" w:rsidTr="00973DC6">
        <w:tc>
          <w:tcPr>
            <w:tcW w:w="1645" w:type="pct"/>
            <w:shd w:val="clear" w:color="auto" w:fill="auto"/>
            <w:tcMar>
              <w:top w:w="0" w:type="dxa"/>
              <w:bottom w:w="0" w:type="dxa"/>
            </w:tcMar>
            <w:vAlign w:val="center"/>
          </w:tcPr>
          <w:p w14:paraId="2B5BDF4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Profit before risk provisions</w:t>
            </w:r>
          </w:p>
        </w:tc>
        <w:tc>
          <w:tcPr>
            <w:tcW w:w="863" w:type="pct"/>
            <w:shd w:val="clear" w:color="auto" w:fill="auto"/>
            <w:tcMar>
              <w:top w:w="0" w:type="dxa"/>
              <w:bottom w:w="0" w:type="dxa"/>
            </w:tcMar>
            <w:vAlign w:val="center"/>
          </w:tcPr>
          <w:p w14:paraId="7E91271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348</w:t>
            </w:r>
          </w:p>
        </w:tc>
        <w:tc>
          <w:tcPr>
            <w:tcW w:w="740" w:type="pct"/>
            <w:shd w:val="clear" w:color="auto" w:fill="auto"/>
            <w:tcMar>
              <w:top w:w="0" w:type="dxa"/>
              <w:bottom w:w="0" w:type="dxa"/>
            </w:tcMar>
            <w:vAlign w:val="center"/>
          </w:tcPr>
          <w:p w14:paraId="21959312"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410</w:t>
            </w:r>
          </w:p>
        </w:tc>
        <w:tc>
          <w:tcPr>
            <w:tcW w:w="685" w:type="pct"/>
            <w:shd w:val="clear" w:color="auto" w:fill="auto"/>
            <w:tcMar>
              <w:top w:w="0" w:type="dxa"/>
              <w:bottom w:w="0" w:type="dxa"/>
            </w:tcMar>
            <w:vAlign w:val="center"/>
          </w:tcPr>
          <w:p w14:paraId="0237DAC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680</w:t>
            </w:r>
          </w:p>
        </w:tc>
        <w:tc>
          <w:tcPr>
            <w:tcW w:w="633" w:type="pct"/>
            <w:shd w:val="clear" w:color="auto" w:fill="auto"/>
            <w:tcMar>
              <w:top w:w="0" w:type="dxa"/>
              <w:bottom w:w="0" w:type="dxa"/>
            </w:tcMar>
            <w:vAlign w:val="center"/>
          </w:tcPr>
          <w:p w14:paraId="33D1CC5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85%</w:t>
            </w:r>
          </w:p>
        </w:tc>
        <w:tc>
          <w:tcPr>
            <w:tcW w:w="434" w:type="pct"/>
            <w:shd w:val="clear" w:color="auto" w:fill="auto"/>
            <w:tcMar>
              <w:top w:w="0" w:type="dxa"/>
              <w:bottom w:w="0" w:type="dxa"/>
            </w:tcMar>
            <w:vAlign w:val="center"/>
          </w:tcPr>
          <w:p w14:paraId="129894E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51%</w:t>
            </w:r>
          </w:p>
        </w:tc>
      </w:tr>
      <w:tr w:rsidR="00FA3763" w:rsidRPr="00C86700" w14:paraId="7717CC47" w14:textId="77777777" w:rsidTr="00973DC6">
        <w:tc>
          <w:tcPr>
            <w:tcW w:w="1645" w:type="pct"/>
            <w:shd w:val="clear" w:color="auto" w:fill="auto"/>
            <w:tcMar>
              <w:top w:w="0" w:type="dxa"/>
              <w:bottom w:w="0" w:type="dxa"/>
            </w:tcMar>
            <w:vAlign w:val="center"/>
          </w:tcPr>
          <w:p w14:paraId="2CEC8F2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Expense for risk provisions</w:t>
            </w:r>
          </w:p>
        </w:tc>
        <w:tc>
          <w:tcPr>
            <w:tcW w:w="863" w:type="pct"/>
            <w:shd w:val="clear" w:color="auto" w:fill="auto"/>
            <w:tcMar>
              <w:top w:w="0" w:type="dxa"/>
              <w:bottom w:w="0" w:type="dxa"/>
            </w:tcMar>
            <w:vAlign w:val="center"/>
          </w:tcPr>
          <w:p w14:paraId="0A3CC4E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(277)</w:t>
            </w:r>
          </w:p>
        </w:tc>
        <w:tc>
          <w:tcPr>
            <w:tcW w:w="740" w:type="pct"/>
            <w:shd w:val="clear" w:color="auto" w:fill="auto"/>
            <w:tcMar>
              <w:top w:w="0" w:type="dxa"/>
              <w:bottom w:w="0" w:type="dxa"/>
            </w:tcMar>
            <w:vAlign w:val="center"/>
          </w:tcPr>
          <w:p w14:paraId="585BAF4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(280)</w:t>
            </w:r>
          </w:p>
        </w:tc>
        <w:tc>
          <w:tcPr>
            <w:tcW w:w="685" w:type="pct"/>
            <w:shd w:val="clear" w:color="auto" w:fill="auto"/>
            <w:tcMar>
              <w:top w:w="0" w:type="dxa"/>
              <w:bottom w:w="0" w:type="dxa"/>
            </w:tcMar>
            <w:vAlign w:val="center"/>
          </w:tcPr>
          <w:p w14:paraId="5061432A"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(224)</w:t>
            </w:r>
          </w:p>
        </w:tc>
        <w:tc>
          <w:tcPr>
            <w:tcW w:w="633" w:type="pct"/>
            <w:shd w:val="clear" w:color="auto" w:fill="auto"/>
            <w:tcMar>
              <w:top w:w="0" w:type="dxa"/>
              <w:bottom w:w="0" w:type="dxa"/>
            </w:tcMar>
            <w:vAlign w:val="center"/>
          </w:tcPr>
          <w:p w14:paraId="3E5A777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99%</w:t>
            </w:r>
          </w:p>
        </w:tc>
        <w:tc>
          <w:tcPr>
            <w:tcW w:w="434" w:type="pct"/>
            <w:shd w:val="clear" w:color="auto" w:fill="auto"/>
            <w:tcMar>
              <w:top w:w="0" w:type="dxa"/>
              <w:bottom w:w="0" w:type="dxa"/>
            </w:tcMar>
            <w:vAlign w:val="center"/>
          </w:tcPr>
          <w:p w14:paraId="2FA564C6"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123%</w:t>
            </w:r>
          </w:p>
        </w:tc>
      </w:tr>
      <w:tr w:rsidR="00FA3763" w:rsidRPr="00C86700" w14:paraId="345FC539" w14:textId="77777777" w:rsidTr="00973DC6">
        <w:tc>
          <w:tcPr>
            <w:tcW w:w="1645" w:type="pct"/>
            <w:shd w:val="clear" w:color="auto" w:fill="auto"/>
            <w:tcMar>
              <w:top w:w="0" w:type="dxa"/>
              <w:bottom w:w="0" w:type="dxa"/>
            </w:tcMar>
            <w:vAlign w:val="center"/>
          </w:tcPr>
          <w:p w14:paraId="6704C38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Profit before tax</w:t>
            </w:r>
          </w:p>
        </w:tc>
        <w:tc>
          <w:tcPr>
            <w:tcW w:w="863" w:type="pct"/>
            <w:shd w:val="clear" w:color="auto" w:fill="auto"/>
            <w:tcMar>
              <w:top w:w="0" w:type="dxa"/>
              <w:bottom w:w="0" w:type="dxa"/>
            </w:tcMar>
            <w:vAlign w:val="center"/>
          </w:tcPr>
          <w:p w14:paraId="3CCD856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72</w:t>
            </w:r>
          </w:p>
        </w:tc>
        <w:tc>
          <w:tcPr>
            <w:tcW w:w="740" w:type="pct"/>
            <w:shd w:val="clear" w:color="auto" w:fill="auto"/>
            <w:tcMar>
              <w:top w:w="0" w:type="dxa"/>
              <w:bottom w:w="0" w:type="dxa"/>
            </w:tcMar>
            <w:vAlign w:val="center"/>
          </w:tcPr>
          <w:p w14:paraId="3382BFB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130</w:t>
            </w:r>
          </w:p>
        </w:tc>
        <w:tc>
          <w:tcPr>
            <w:tcW w:w="685" w:type="pct"/>
            <w:shd w:val="clear" w:color="auto" w:fill="auto"/>
            <w:tcMar>
              <w:top w:w="0" w:type="dxa"/>
              <w:bottom w:w="0" w:type="dxa"/>
            </w:tcMar>
            <w:vAlign w:val="center"/>
          </w:tcPr>
          <w:p w14:paraId="3A00C0E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456</w:t>
            </w:r>
          </w:p>
        </w:tc>
        <w:tc>
          <w:tcPr>
            <w:tcW w:w="633" w:type="pct"/>
            <w:shd w:val="clear" w:color="auto" w:fill="auto"/>
            <w:tcMar>
              <w:top w:w="0" w:type="dxa"/>
              <w:bottom w:w="0" w:type="dxa"/>
            </w:tcMar>
            <w:vAlign w:val="center"/>
          </w:tcPr>
          <w:p w14:paraId="49F4D1A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55%</w:t>
            </w:r>
          </w:p>
        </w:tc>
        <w:tc>
          <w:tcPr>
            <w:tcW w:w="434" w:type="pct"/>
            <w:shd w:val="clear" w:color="auto" w:fill="auto"/>
            <w:tcMar>
              <w:top w:w="0" w:type="dxa"/>
              <w:bottom w:w="0" w:type="dxa"/>
            </w:tcMar>
            <w:vAlign w:val="center"/>
          </w:tcPr>
          <w:p w14:paraId="501AEF6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16%</w:t>
            </w:r>
          </w:p>
        </w:tc>
      </w:tr>
      <w:tr w:rsidR="00FA3763" w:rsidRPr="00C86700" w14:paraId="618A126B" w14:textId="77777777" w:rsidTr="00973DC6">
        <w:tc>
          <w:tcPr>
            <w:tcW w:w="1645" w:type="pct"/>
            <w:shd w:val="clear" w:color="auto" w:fill="auto"/>
            <w:tcMar>
              <w:top w:w="0" w:type="dxa"/>
              <w:bottom w:w="0" w:type="dxa"/>
            </w:tcMar>
            <w:vAlign w:val="center"/>
          </w:tcPr>
          <w:p w14:paraId="591DDE0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CIR</w:t>
            </w:r>
          </w:p>
        </w:tc>
        <w:tc>
          <w:tcPr>
            <w:tcW w:w="863" w:type="pct"/>
            <w:shd w:val="clear" w:color="auto" w:fill="auto"/>
            <w:tcMar>
              <w:top w:w="0" w:type="dxa"/>
              <w:bottom w:w="0" w:type="dxa"/>
            </w:tcMar>
            <w:vAlign w:val="center"/>
          </w:tcPr>
          <w:p w14:paraId="69DB3623"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80.2%</w:t>
            </w:r>
          </w:p>
        </w:tc>
        <w:tc>
          <w:tcPr>
            <w:tcW w:w="740" w:type="pct"/>
            <w:shd w:val="clear" w:color="auto" w:fill="auto"/>
            <w:tcMar>
              <w:top w:w="0" w:type="dxa"/>
              <w:bottom w:w="0" w:type="dxa"/>
            </w:tcMar>
            <w:vAlign w:val="center"/>
          </w:tcPr>
          <w:p w14:paraId="19B8D22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77.5%</w:t>
            </w:r>
          </w:p>
        </w:tc>
        <w:tc>
          <w:tcPr>
            <w:tcW w:w="685" w:type="pct"/>
            <w:shd w:val="clear" w:color="auto" w:fill="auto"/>
            <w:tcMar>
              <w:top w:w="0" w:type="dxa"/>
              <w:bottom w:w="0" w:type="dxa"/>
            </w:tcMar>
            <w:vAlign w:val="center"/>
          </w:tcPr>
          <w:p w14:paraId="626207AA"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64.5%</w:t>
            </w:r>
          </w:p>
        </w:tc>
        <w:tc>
          <w:tcPr>
            <w:tcW w:w="633" w:type="pct"/>
            <w:shd w:val="clear" w:color="auto" w:fill="auto"/>
            <w:tcMar>
              <w:top w:w="0" w:type="dxa"/>
              <w:bottom w:w="0" w:type="dxa"/>
            </w:tcMar>
            <w:vAlign w:val="center"/>
          </w:tcPr>
          <w:p w14:paraId="65CCF021" w14:textId="77777777" w:rsidR="00FA3763" w:rsidRPr="00C86700" w:rsidRDefault="00FA3763" w:rsidP="007F4E1E">
            <w:pPr>
              <w:spacing w:after="120" w:line="360" w:lineRule="auto"/>
              <w:jc w:val="both"/>
              <w:rPr>
                <w:rFonts w:ascii="Arial" w:eastAsia="Arial" w:hAnsi="Arial" w:cs="Arial"/>
                <w:color w:val="010000"/>
                <w:sz w:val="20"/>
                <w:szCs w:val="20"/>
              </w:rPr>
            </w:pPr>
          </w:p>
        </w:tc>
        <w:tc>
          <w:tcPr>
            <w:tcW w:w="434" w:type="pct"/>
            <w:shd w:val="clear" w:color="auto" w:fill="auto"/>
            <w:tcMar>
              <w:top w:w="0" w:type="dxa"/>
              <w:bottom w:w="0" w:type="dxa"/>
            </w:tcMar>
            <w:vAlign w:val="center"/>
          </w:tcPr>
          <w:p w14:paraId="022506FF" w14:textId="77777777" w:rsidR="00FA3763" w:rsidRPr="00C86700" w:rsidRDefault="00FA3763" w:rsidP="007F4E1E">
            <w:pPr>
              <w:spacing w:after="120" w:line="360" w:lineRule="auto"/>
              <w:jc w:val="both"/>
              <w:rPr>
                <w:rFonts w:ascii="Arial" w:eastAsia="Arial" w:hAnsi="Arial" w:cs="Arial"/>
                <w:color w:val="010000"/>
                <w:sz w:val="20"/>
                <w:szCs w:val="20"/>
              </w:rPr>
            </w:pPr>
          </w:p>
        </w:tc>
      </w:tr>
    </w:tbl>
    <w:p w14:paraId="30CA8BF5" w14:textId="77777777" w:rsidR="00FA3763" w:rsidRPr="00C86700" w:rsidRDefault="008B42A3" w:rsidP="007F4E1E">
      <w:pPr>
        <w:numPr>
          <w:ilvl w:val="0"/>
          <w:numId w:val="5"/>
        </w:numPr>
        <w:pBdr>
          <w:top w:val="nil"/>
          <w:left w:val="nil"/>
          <w:bottom w:val="nil"/>
          <w:right w:val="nil"/>
          <w:between w:val="nil"/>
        </w:pBdr>
        <w:tabs>
          <w:tab w:val="left" w:pos="432"/>
          <w:tab w:val="left" w:pos="2331"/>
        </w:tabs>
        <w:spacing w:after="120" w:line="360" w:lineRule="auto"/>
        <w:jc w:val="both"/>
        <w:rPr>
          <w:rFonts w:ascii="Arial" w:eastAsia="Arial" w:hAnsi="Arial" w:cs="Arial"/>
          <w:color w:val="010000"/>
          <w:sz w:val="20"/>
          <w:szCs w:val="20"/>
        </w:rPr>
      </w:pPr>
      <w:r w:rsidRPr="00C86700">
        <w:rPr>
          <w:rFonts w:ascii="Arial" w:hAnsi="Arial" w:cs="Arial"/>
          <w:color w:val="010000"/>
          <w:sz w:val="20"/>
        </w:rPr>
        <w:lastRenderedPageBreak/>
        <w:t>Approve the Report on business support activities in 2023 of the Divisions;</w:t>
      </w:r>
    </w:p>
    <w:p w14:paraId="6568050D" w14:textId="77777777" w:rsidR="00FA3763" w:rsidRPr="00C86700" w:rsidRDefault="008B42A3" w:rsidP="007F4E1E">
      <w:pPr>
        <w:numPr>
          <w:ilvl w:val="0"/>
          <w:numId w:val="5"/>
        </w:numPr>
        <w:pBdr>
          <w:top w:val="nil"/>
          <w:left w:val="nil"/>
          <w:bottom w:val="nil"/>
          <w:right w:val="nil"/>
          <w:between w:val="nil"/>
        </w:pBdr>
        <w:tabs>
          <w:tab w:val="left" w:pos="432"/>
          <w:tab w:val="left" w:pos="2331"/>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plan to implement business orientations in 2024 of the Executive Board.</w:t>
      </w:r>
    </w:p>
    <w:p w14:paraId="6296B5C3"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4. Approve Report No. 15/24/BVBank/BC-BKS dated March 28, 2024 of the Supervisory Board on reporting on task implementation in 2023.</w:t>
      </w:r>
    </w:p>
    <w:p w14:paraId="4AC7E536"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5. Approve Proposal No. 18/24/BVBank/TT-BKS dated March 28, 2024 of the Supervisory Board on the remuneration and operating expenses of members of the Supervisory Board in 2023.</w:t>
      </w:r>
    </w:p>
    <w:p w14:paraId="71B12D9E" w14:textId="77777777" w:rsidR="00FA3763" w:rsidRPr="00C86700" w:rsidRDefault="008B42A3" w:rsidP="007F4E1E">
      <w:pPr>
        <w:numPr>
          <w:ilvl w:val="0"/>
          <w:numId w:val="3"/>
        </w:numPr>
        <w:pBdr>
          <w:top w:val="nil"/>
          <w:left w:val="nil"/>
          <w:bottom w:val="nil"/>
          <w:right w:val="nil"/>
          <w:between w:val="nil"/>
        </w:pBdr>
        <w:tabs>
          <w:tab w:val="left" w:pos="432"/>
          <w:tab w:val="left" w:pos="2331"/>
        </w:tabs>
        <w:spacing w:after="120" w:line="360" w:lineRule="auto"/>
        <w:jc w:val="both"/>
        <w:rPr>
          <w:rFonts w:ascii="Arial" w:eastAsia="Arial" w:hAnsi="Arial" w:cs="Arial"/>
          <w:color w:val="010000"/>
          <w:sz w:val="20"/>
          <w:szCs w:val="20"/>
        </w:rPr>
      </w:pPr>
      <w:r w:rsidRPr="00C86700">
        <w:rPr>
          <w:rFonts w:ascii="Arial" w:hAnsi="Arial" w:cs="Arial"/>
          <w:color w:val="010000"/>
          <w:sz w:val="20"/>
        </w:rPr>
        <w:t>Total remuneration and allowances in 2024 of the Supervisory Board: VND 2.7 billion.</w:t>
      </w:r>
    </w:p>
    <w:p w14:paraId="353000E8" w14:textId="77777777" w:rsidR="00FA3763" w:rsidRPr="00C86700" w:rsidRDefault="008B42A3" w:rsidP="007F4E1E">
      <w:pPr>
        <w:numPr>
          <w:ilvl w:val="0"/>
          <w:numId w:val="3"/>
        </w:numPr>
        <w:pBdr>
          <w:top w:val="nil"/>
          <w:left w:val="nil"/>
          <w:bottom w:val="nil"/>
          <w:right w:val="nil"/>
          <w:between w:val="nil"/>
        </w:pBdr>
        <w:tabs>
          <w:tab w:val="left" w:pos="432"/>
          <w:tab w:val="left" w:pos="2331"/>
        </w:tabs>
        <w:spacing w:after="120" w:line="360" w:lineRule="auto"/>
        <w:jc w:val="both"/>
        <w:rPr>
          <w:rFonts w:ascii="Arial" w:eastAsia="Arial" w:hAnsi="Arial" w:cs="Arial"/>
          <w:color w:val="010000"/>
          <w:sz w:val="20"/>
          <w:szCs w:val="20"/>
        </w:rPr>
      </w:pPr>
      <w:r w:rsidRPr="00C86700">
        <w:rPr>
          <w:rFonts w:ascii="Arial" w:hAnsi="Arial" w:cs="Arial"/>
          <w:color w:val="010000"/>
          <w:sz w:val="20"/>
        </w:rPr>
        <w:t>Total operating expense budget in 2024 of the Supervisory Board: VND 300 million.</w:t>
      </w:r>
    </w:p>
    <w:p w14:paraId="0D9F9D86" w14:textId="77777777" w:rsidR="00FA3763" w:rsidRPr="00C86700" w:rsidRDefault="008B42A3" w:rsidP="007F4E1E">
      <w:pPr>
        <w:numPr>
          <w:ilvl w:val="0"/>
          <w:numId w:val="3"/>
        </w:numPr>
        <w:pBdr>
          <w:top w:val="nil"/>
          <w:left w:val="nil"/>
          <w:bottom w:val="nil"/>
          <w:right w:val="nil"/>
          <w:between w:val="nil"/>
        </w:pBdr>
        <w:tabs>
          <w:tab w:val="left" w:pos="432"/>
          <w:tab w:val="left" w:pos="2331"/>
        </w:tabs>
        <w:spacing w:after="120" w:line="360" w:lineRule="auto"/>
        <w:jc w:val="both"/>
        <w:rPr>
          <w:rFonts w:ascii="Arial" w:eastAsia="Arial" w:hAnsi="Arial" w:cs="Arial"/>
          <w:color w:val="010000"/>
          <w:sz w:val="20"/>
          <w:szCs w:val="20"/>
        </w:rPr>
      </w:pPr>
      <w:r w:rsidRPr="00C86700">
        <w:rPr>
          <w:rFonts w:ascii="Arial" w:hAnsi="Arial" w:cs="Arial"/>
          <w:color w:val="010000"/>
          <w:sz w:val="20"/>
        </w:rPr>
        <w:t>The General Meeting of Shareholders authorizes the Supervisory Board to decide the remuneration, bonus and other benefits of each member of the Supervisory Board and operating expenses according to the total budget approved by the General Meeting of Shareholders 2024.</w:t>
      </w:r>
    </w:p>
    <w:p w14:paraId="3F6ADDF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6. Approve Proposal No. 17/24/BVBank/TT-BKS dated March 28, 2024 of the Supervisory Board on selecting an independent audit company to audit BVBank's Financial Statements 2024.</w:t>
      </w:r>
    </w:p>
    <w:p w14:paraId="01D2471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Accordingly, based on the list of audit companies approved by the General Meeting of Shareholders, the General Meeting of Shareholders authorizes the Supervisory Board to decide on the selection of an audit company to audit the BVBank’s Financial Statements 2024.</w:t>
      </w:r>
    </w:p>
    <w:p w14:paraId="7AFE089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7. Approve Proposal No. 49/24/BVBank/TT-HDQT dated March 28, 2024 of the Board of Directors on approving the Audited Separate and Consolidated Financial Statements for the fiscal year 2023.</w:t>
      </w:r>
    </w:p>
    <w:p w14:paraId="7E9C240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8. Approve Proposal No. 50/24/BVBank/TT-HDQT dated March 28, 2024 on the profit distribution plan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9"/>
        <w:gridCol w:w="5976"/>
        <w:gridCol w:w="2352"/>
      </w:tblGrid>
      <w:tr w:rsidR="00FA3763" w:rsidRPr="00C86700" w14:paraId="0681C7AE" w14:textId="77777777" w:rsidTr="00973DC6">
        <w:tc>
          <w:tcPr>
            <w:tcW w:w="382" w:type="pct"/>
            <w:shd w:val="clear" w:color="auto" w:fill="auto"/>
            <w:tcMar>
              <w:top w:w="0" w:type="dxa"/>
              <w:bottom w:w="0" w:type="dxa"/>
            </w:tcMar>
            <w:vAlign w:val="center"/>
          </w:tcPr>
          <w:p w14:paraId="47201B7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w:t>
            </w:r>
          </w:p>
        </w:tc>
        <w:tc>
          <w:tcPr>
            <w:tcW w:w="3314" w:type="pct"/>
            <w:shd w:val="clear" w:color="auto" w:fill="auto"/>
            <w:tcMar>
              <w:top w:w="0" w:type="dxa"/>
              <w:bottom w:w="0" w:type="dxa"/>
            </w:tcMar>
            <w:vAlign w:val="center"/>
          </w:tcPr>
          <w:p w14:paraId="35CA2069"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Consolidated profit before tax in 2023</w:t>
            </w:r>
          </w:p>
        </w:tc>
        <w:tc>
          <w:tcPr>
            <w:tcW w:w="1305" w:type="pct"/>
            <w:shd w:val="clear" w:color="auto" w:fill="auto"/>
            <w:tcMar>
              <w:top w:w="0" w:type="dxa"/>
              <w:bottom w:w="0" w:type="dxa"/>
            </w:tcMar>
            <w:vAlign w:val="center"/>
          </w:tcPr>
          <w:p w14:paraId="264A2BD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71,605,258,498</w:t>
            </w:r>
          </w:p>
        </w:tc>
      </w:tr>
      <w:tr w:rsidR="00FA3763" w:rsidRPr="00C86700" w14:paraId="4F0FB6EE" w14:textId="77777777" w:rsidTr="00973DC6">
        <w:tc>
          <w:tcPr>
            <w:tcW w:w="382" w:type="pct"/>
            <w:shd w:val="clear" w:color="auto" w:fill="auto"/>
            <w:tcMar>
              <w:top w:w="0" w:type="dxa"/>
              <w:bottom w:w="0" w:type="dxa"/>
            </w:tcMar>
            <w:vAlign w:val="center"/>
          </w:tcPr>
          <w:p w14:paraId="3BD6247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w:t>
            </w:r>
          </w:p>
        </w:tc>
        <w:tc>
          <w:tcPr>
            <w:tcW w:w="3314" w:type="pct"/>
            <w:shd w:val="clear" w:color="auto" w:fill="auto"/>
            <w:tcMar>
              <w:top w:w="0" w:type="dxa"/>
              <w:bottom w:w="0" w:type="dxa"/>
            </w:tcMar>
            <w:vAlign w:val="center"/>
          </w:tcPr>
          <w:p w14:paraId="2142DE2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Corporate income tax payable</w:t>
            </w:r>
          </w:p>
        </w:tc>
        <w:tc>
          <w:tcPr>
            <w:tcW w:w="1305" w:type="pct"/>
            <w:shd w:val="clear" w:color="auto" w:fill="auto"/>
            <w:tcMar>
              <w:top w:w="0" w:type="dxa"/>
              <w:bottom w:w="0" w:type="dxa"/>
            </w:tcMar>
            <w:vAlign w:val="center"/>
          </w:tcPr>
          <w:p w14:paraId="1D51329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15,037,656,745</w:t>
            </w:r>
          </w:p>
        </w:tc>
      </w:tr>
      <w:tr w:rsidR="00FA3763" w:rsidRPr="00C86700" w14:paraId="72537C8A" w14:textId="77777777" w:rsidTr="00973DC6">
        <w:tc>
          <w:tcPr>
            <w:tcW w:w="382" w:type="pct"/>
            <w:shd w:val="clear" w:color="auto" w:fill="auto"/>
            <w:tcMar>
              <w:top w:w="0" w:type="dxa"/>
              <w:bottom w:w="0" w:type="dxa"/>
            </w:tcMar>
            <w:vAlign w:val="center"/>
          </w:tcPr>
          <w:p w14:paraId="28E9B90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3</w:t>
            </w:r>
          </w:p>
        </w:tc>
        <w:tc>
          <w:tcPr>
            <w:tcW w:w="3314" w:type="pct"/>
            <w:shd w:val="clear" w:color="auto" w:fill="auto"/>
            <w:tcMar>
              <w:top w:w="0" w:type="dxa"/>
              <w:bottom w:w="0" w:type="dxa"/>
            </w:tcMar>
            <w:vAlign w:val="center"/>
          </w:tcPr>
          <w:p w14:paraId="296B2E76"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Profit after tax used for appropriation for funds</w:t>
            </w:r>
          </w:p>
        </w:tc>
        <w:tc>
          <w:tcPr>
            <w:tcW w:w="1305" w:type="pct"/>
            <w:shd w:val="clear" w:color="auto" w:fill="auto"/>
            <w:tcMar>
              <w:top w:w="0" w:type="dxa"/>
              <w:bottom w:w="0" w:type="dxa"/>
            </w:tcMar>
            <w:vAlign w:val="center"/>
          </w:tcPr>
          <w:p w14:paraId="0FE2293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56,567,601,753</w:t>
            </w:r>
          </w:p>
        </w:tc>
      </w:tr>
      <w:tr w:rsidR="00FA3763" w:rsidRPr="00C86700" w14:paraId="7DCAC033" w14:textId="77777777" w:rsidTr="00973DC6">
        <w:tc>
          <w:tcPr>
            <w:tcW w:w="382" w:type="pct"/>
            <w:shd w:val="clear" w:color="auto" w:fill="auto"/>
            <w:tcMar>
              <w:top w:w="0" w:type="dxa"/>
              <w:bottom w:w="0" w:type="dxa"/>
            </w:tcMar>
            <w:vAlign w:val="center"/>
          </w:tcPr>
          <w:p w14:paraId="07DDB35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4</w:t>
            </w:r>
          </w:p>
        </w:tc>
        <w:tc>
          <w:tcPr>
            <w:tcW w:w="3314" w:type="pct"/>
            <w:shd w:val="clear" w:color="auto" w:fill="auto"/>
            <w:tcMar>
              <w:top w:w="0" w:type="dxa"/>
              <w:bottom w:w="0" w:type="dxa"/>
            </w:tcMar>
            <w:vAlign w:val="center"/>
          </w:tcPr>
          <w:p w14:paraId="5F36F317"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Appropriation for funds</w:t>
            </w:r>
          </w:p>
        </w:tc>
        <w:tc>
          <w:tcPr>
            <w:tcW w:w="1305" w:type="pct"/>
            <w:shd w:val="clear" w:color="auto" w:fill="auto"/>
            <w:tcMar>
              <w:top w:w="0" w:type="dxa"/>
              <w:bottom w:w="0" w:type="dxa"/>
            </w:tcMar>
            <w:vAlign w:val="center"/>
          </w:tcPr>
          <w:p w14:paraId="5A18A04E"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8,485,140,263</w:t>
            </w:r>
          </w:p>
        </w:tc>
      </w:tr>
      <w:tr w:rsidR="00FA3763" w:rsidRPr="00C86700" w14:paraId="0E18AEED" w14:textId="77777777" w:rsidTr="00973DC6">
        <w:tc>
          <w:tcPr>
            <w:tcW w:w="382" w:type="pct"/>
            <w:shd w:val="clear" w:color="auto" w:fill="auto"/>
            <w:tcMar>
              <w:top w:w="0" w:type="dxa"/>
              <w:bottom w:w="0" w:type="dxa"/>
            </w:tcMar>
            <w:vAlign w:val="center"/>
          </w:tcPr>
          <w:p w14:paraId="663C6BFF"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4.1</w:t>
            </w:r>
          </w:p>
        </w:tc>
        <w:tc>
          <w:tcPr>
            <w:tcW w:w="3314" w:type="pct"/>
            <w:shd w:val="clear" w:color="auto" w:fill="auto"/>
            <w:tcMar>
              <w:top w:w="0" w:type="dxa"/>
              <w:bottom w:w="0" w:type="dxa"/>
            </w:tcMar>
            <w:vAlign w:val="center"/>
          </w:tcPr>
          <w:p w14:paraId="3707FF10"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Reserve fund for supplementing charter capital (5%)</w:t>
            </w:r>
          </w:p>
        </w:tc>
        <w:tc>
          <w:tcPr>
            <w:tcW w:w="1305" w:type="pct"/>
            <w:shd w:val="clear" w:color="auto" w:fill="auto"/>
            <w:tcMar>
              <w:top w:w="0" w:type="dxa"/>
              <w:bottom w:w="0" w:type="dxa"/>
            </w:tcMar>
            <w:vAlign w:val="center"/>
          </w:tcPr>
          <w:p w14:paraId="48D0D21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2,828,380,088</w:t>
            </w:r>
          </w:p>
        </w:tc>
      </w:tr>
      <w:tr w:rsidR="00FA3763" w:rsidRPr="00C86700" w14:paraId="216AAB4A" w14:textId="77777777" w:rsidTr="00973DC6">
        <w:tc>
          <w:tcPr>
            <w:tcW w:w="382" w:type="pct"/>
            <w:shd w:val="clear" w:color="auto" w:fill="auto"/>
            <w:tcMar>
              <w:top w:w="0" w:type="dxa"/>
              <w:bottom w:w="0" w:type="dxa"/>
            </w:tcMar>
            <w:vAlign w:val="center"/>
          </w:tcPr>
          <w:p w14:paraId="63FB6328" w14:textId="77777777" w:rsidR="00FA3763" w:rsidRPr="00C86700" w:rsidRDefault="00FA3763" w:rsidP="007F4E1E">
            <w:pPr>
              <w:spacing w:after="120" w:line="360" w:lineRule="auto"/>
              <w:jc w:val="both"/>
              <w:rPr>
                <w:rFonts w:ascii="Arial" w:eastAsia="Arial" w:hAnsi="Arial" w:cs="Arial"/>
                <w:color w:val="010000"/>
                <w:sz w:val="20"/>
                <w:szCs w:val="20"/>
              </w:rPr>
            </w:pPr>
          </w:p>
        </w:tc>
        <w:tc>
          <w:tcPr>
            <w:tcW w:w="3314" w:type="pct"/>
            <w:shd w:val="clear" w:color="auto" w:fill="auto"/>
            <w:tcMar>
              <w:top w:w="0" w:type="dxa"/>
              <w:bottom w:w="0" w:type="dxa"/>
            </w:tcMar>
            <w:vAlign w:val="center"/>
          </w:tcPr>
          <w:p w14:paraId="3E17E40D" w14:textId="77777777" w:rsidR="00FA3763" w:rsidRPr="00C86700" w:rsidRDefault="008B42A3" w:rsidP="007F4E1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6700">
              <w:rPr>
                <w:rFonts w:ascii="Arial" w:hAnsi="Arial" w:cs="Arial"/>
                <w:color w:val="010000"/>
                <w:sz w:val="20"/>
              </w:rPr>
              <w:t>BVBank</w:t>
            </w:r>
          </w:p>
        </w:tc>
        <w:tc>
          <w:tcPr>
            <w:tcW w:w="1305" w:type="pct"/>
            <w:shd w:val="clear" w:color="auto" w:fill="auto"/>
            <w:tcMar>
              <w:top w:w="0" w:type="dxa"/>
              <w:bottom w:w="0" w:type="dxa"/>
            </w:tcMar>
            <w:vAlign w:val="center"/>
          </w:tcPr>
          <w:p w14:paraId="35949D7E" w14:textId="77777777" w:rsidR="00FA3763" w:rsidRPr="00C86700" w:rsidRDefault="008B42A3" w:rsidP="007F4E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6700">
              <w:rPr>
                <w:rFonts w:ascii="Arial" w:hAnsi="Arial" w:cs="Arial"/>
                <w:color w:val="010000"/>
                <w:sz w:val="20"/>
              </w:rPr>
              <w:t>2,772,137,713</w:t>
            </w:r>
          </w:p>
        </w:tc>
      </w:tr>
      <w:tr w:rsidR="00FA3763" w:rsidRPr="00C86700" w14:paraId="375DA327" w14:textId="77777777" w:rsidTr="00973DC6">
        <w:tc>
          <w:tcPr>
            <w:tcW w:w="382" w:type="pct"/>
            <w:shd w:val="clear" w:color="auto" w:fill="auto"/>
            <w:tcMar>
              <w:top w:w="0" w:type="dxa"/>
              <w:bottom w:w="0" w:type="dxa"/>
            </w:tcMar>
            <w:vAlign w:val="center"/>
          </w:tcPr>
          <w:p w14:paraId="1439F86C" w14:textId="77777777" w:rsidR="00FA3763" w:rsidRPr="00C86700" w:rsidRDefault="00FA3763" w:rsidP="007F4E1E">
            <w:pPr>
              <w:tabs>
                <w:tab w:val="left" w:pos="432"/>
              </w:tabs>
              <w:spacing w:after="120" w:line="360" w:lineRule="auto"/>
              <w:jc w:val="both"/>
              <w:rPr>
                <w:rFonts w:ascii="Arial" w:eastAsia="Arial" w:hAnsi="Arial" w:cs="Arial"/>
                <w:color w:val="010000"/>
                <w:sz w:val="20"/>
                <w:szCs w:val="20"/>
              </w:rPr>
            </w:pPr>
          </w:p>
        </w:tc>
        <w:tc>
          <w:tcPr>
            <w:tcW w:w="3314" w:type="pct"/>
            <w:shd w:val="clear" w:color="auto" w:fill="auto"/>
            <w:tcMar>
              <w:top w:w="0" w:type="dxa"/>
              <w:bottom w:w="0" w:type="dxa"/>
            </w:tcMar>
            <w:vAlign w:val="center"/>
          </w:tcPr>
          <w:p w14:paraId="0EFC061A" w14:textId="77777777" w:rsidR="00FA3763" w:rsidRPr="00C86700" w:rsidRDefault="008B42A3" w:rsidP="007F4E1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6700">
              <w:rPr>
                <w:rFonts w:ascii="Arial" w:hAnsi="Arial" w:cs="Arial"/>
                <w:color w:val="010000"/>
                <w:sz w:val="20"/>
              </w:rPr>
              <w:t>AMC</w:t>
            </w:r>
          </w:p>
        </w:tc>
        <w:tc>
          <w:tcPr>
            <w:tcW w:w="1305" w:type="pct"/>
            <w:shd w:val="clear" w:color="auto" w:fill="auto"/>
            <w:tcMar>
              <w:top w:w="0" w:type="dxa"/>
              <w:bottom w:w="0" w:type="dxa"/>
            </w:tcMar>
            <w:vAlign w:val="center"/>
          </w:tcPr>
          <w:p w14:paraId="7582D62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56,242,375</w:t>
            </w:r>
          </w:p>
        </w:tc>
      </w:tr>
      <w:tr w:rsidR="00FA3763" w:rsidRPr="00C86700" w14:paraId="3E4ECBC6" w14:textId="77777777" w:rsidTr="00973DC6">
        <w:tc>
          <w:tcPr>
            <w:tcW w:w="382" w:type="pct"/>
            <w:shd w:val="clear" w:color="auto" w:fill="auto"/>
            <w:tcMar>
              <w:top w:w="0" w:type="dxa"/>
              <w:bottom w:w="0" w:type="dxa"/>
            </w:tcMar>
            <w:vAlign w:val="center"/>
          </w:tcPr>
          <w:p w14:paraId="1E48F00D"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4.2</w:t>
            </w:r>
          </w:p>
        </w:tc>
        <w:tc>
          <w:tcPr>
            <w:tcW w:w="3314" w:type="pct"/>
            <w:shd w:val="clear" w:color="auto" w:fill="auto"/>
            <w:tcMar>
              <w:top w:w="0" w:type="dxa"/>
              <w:bottom w:w="0" w:type="dxa"/>
            </w:tcMar>
            <w:vAlign w:val="center"/>
          </w:tcPr>
          <w:p w14:paraId="6F2DF73D"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Financial reserve fund (10%)</w:t>
            </w:r>
          </w:p>
        </w:tc>
        <w:tc>
          <w:tcPr>
            <w:tcW w:w="1305" w:type="pct"/>
            <w:shd w:val="clear" w:color="auto" w:fill="auto"/>
            <w:tcMar>
              <w:top w:w="0" w:type="dxa"/>
              <w:bottom w:w="0" w:type="dxa"/>
            </w:tcMar>
            <w:vAlign w:val="center"/>
          </w:tcPr>
          <w:p w14:paraId="5172DB2A"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5,656,760,175</w:t>
            </w:r>
          </w:p>
        </w:tc>
      </w:tr>
      <w:tr w:rsidR="00FA3763" w:rsidRPr="00C86700" w14:paraId="3F381E95" w14:textId="77777777" w:rsidTr="00973DC6">
        <w:tc>
          <w:tcPr>
            <w:tcW w:w="382" w:type="pct"/>
            <w:shd w:val="clear" w:color="auto" w:fill="auto"/>
            <w:tcMar>
              <w:top w:w="0" w:type="dxa"/>
              <w:bottom w:w="0" w:type="dxa"/>
            </w:tcMar>
            <w:vAlign w:val="center"/>
          </w:tcPr>
          <w:p w14:paraId="6FEC4BE2" w14:textId="77777777" w:rsidR="00FA3763" w:rsidRPr="00C86700" w:rsidRDefault="00FA3763" w:rsidP="007F4E1E">
            <w:pPr>
              <w:spacing w:after="120" w:line="360" w:lineRule="auto"/>
              <w:jc w:val="both"/>
              <w:rPr>
                <w:rFonts w:ascii="Arial" w:eastAsia="Arial" w:hAnsi="Arial" w:cs="Arial"/>
                <w:color w:val="010000"/>
                <w:sz w:val="20"/>
                <w:szCs w:val="20"/>
              </w:rPr>
            </w:pPr>
          </w:p>
        </w:tc>
        <w:tc>
          <w:tcPr>
            <w:tcW w:w="3314" w:type="pct"/>
            <w:shd w:val="clear" w:color="auto" w:fill="auto"/>
            <w:tcMar>
              <w:top w:w="0" w:type="dxa"/>
              <w:bottom w:w="0" w:type="dxa"/>
            </w:tcMar>
            <w:vAlign w:val="center"/>
          </w:tcPr>
          <w:p w14:paraId="57281EF4" w14:textId="77777777" w:rsidR="00FA3763" w:rsidRPr="00C86700" w:rsidRDefault="008B42A3" w:rsidP="007F4E1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6700">
              <w:rPr>
                <w:rFonts w:ascii="Arial" w:hAnsi="Arial" w:cs="Arial"/>
                <w:color w:val="010000"/>
                <w:sz w:val="20"/>
              </w:rPr>
              <w:t>BVBank</w:t>
            </w:r>
          </w:p>
        </w:tc>
        <w:tc>
          <w:tcPr>
            <w:tcW w:w="1305" w:type="pct"/>
            <w:shd w:val="clear" w:color="auto" w:fill="auto"/>
            <w:tcMar>
              <w:top w:w="0" w:type="dxa"/>
              <w:bottom w:w="0" w:type="dxa"/>
            </w:tcMar>
            <w:vAlign w:val="center"/>
          </w:tcPr>
          <w:p w14:paraId="3938483D" w14:textId="77777777" w:rsidR="00FA3763" w:rsidRPr="00C86700" w:rsidRDefault="008B42A3" w:rsidP="007F4E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6700">
              <w:rPr>
                <w:rFonts w:ascii="Arial" w:hAnsi="Arial" w:cs="Arial"/>
                <w:color w:val="010000"/>
                <w:sz w:val="20"/>
              </w:rPr>
              <w:t>5,544,275,426</w:t>
            </w:r>
          </w:p>
        </w:tc>
      </w:tr>
      <w:tr w:rsidR="00FA3763" w:rsidRPr="00C86700" w14:paraId="04420B2C" w14:textId="77777777" w:rsidTr="00973DC6">
        <w:tc>
          <w:tcPr>
            <w:tcW w:w="382" w:type="pct"/>
            <w:shd w:val="clear" w:color="auto" w:fill="auto"/>
            <w:tcMar>
              <w:top w:w="0" w:type="dxa"/>
              <w:bottom w:w="0" w:type="dxa"/>
            </w:tcMar>
            <w:vAlign w:val="center"/>
          </w:tcPr>
          <w:p w14:paraId="66FA0C79" w14:textId="77777777" w:rsidR="00FA3763" w:rsidRPr="00C86700" w:rsidRDefault="00FA3763" w:rsidP="007F4E1E">
            <w:pPr>
              <w:tabs>
                <w:tab w:val="left" w:pos="432"/>
              </w:tabs>
              <w:spacing w:after="120" w:line="360" w:lineRule="auto"/>
              <w:jc w:val="both"/>
              <w:rPr>
                <w:rFonts w:ascii="Arial" w:eastAsia="Arial" w:hAnsi="Arial" w:cs="Arial"/>
                <w:color w:val="010000"/>
                <w:sz w:val="20"/>
                <w:szCs w:val="20"/>
              </w:rPr>
            </w:pPr>
          </w:p>
        </w:tc>
        <w:tc>
          <w:tcPr>
            <w:tcW w:w="3314" w:type="pct"/>
            <w:shd w:val="clear" w:color="auto" w:fill="auto"/>
            <w:tcMar>
              <w:top w:w="0" w:type="dxa"/>
              <w:bottom w:w="0" w:type="dxa"/>
            </w:tcMar>
            <w:vAlign w:val="center"/>
          </w:tcPr>
          <w:p w14:paraId="21BD6FB3" w14:textId="77777777" w:rsidR="00FA3763" w:rsidRPr="00C86700" w:rsidRDefault="008B42A3" w:rsidP="007F4E1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6700">
              <w:rPr>
                <w:rFonts w:ascii="Arial" w:hAnsi="Arial" w:cs="Arial"/>
                <w:color w:val="010000"/>
                <w:sz w:val="20"/>
              </w:rPr>
              <w:t>AMC</w:t>
            </w:r>
          </w:p>
        </w:tc>
        <w:tc>
          <w:tcPr>
            <w:tcW w:w="1305" w:type="pct"/>
            <w:shd w:val="clear" w:color="auto" w:fill="auto"/>
            <w:tcMar>
              <w:top w:w="0" w:type="dxa"/>
              <w:bottom w:w="0" w:type="dxa"/>
            </w:tcMar>
            <w:vAlign w:val="center"/>
          </w:tcPr>
          <w:p w14:paraId="7B72F586"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112,484,749</w:t>
            </w:r>
          </w:p>
        </w:tc>
      </w:tr>
      <w:tr w:rsidR="00FA3763" w:rsidRPr="00C86700" w14:paraId="5A838C2E" w14:textId="77777777" w:rsidTr="00973DC6">
        <w:tc>
          <w:tcPr>
            <w:tcW w:w="382" w:type="pct"/>
            <w:shd w:val="clear" w:color="auto" w:fill="auto"/>
            <w:tcMar>
              <w:top w:w="0" w:type="dxa"/>
              <w:bottom w:w="0" w:type="dxa"/>
            </w:tcMar>
            <w:vAlign w:val="center"/>
          </w:tcPr>
          <w:p w14:paraId="74B34344"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5</w:t>
            </w:r>
          </w:p>
        </w:tc>
        <w:tc>
          <w:tcPr>
            <w:tcW w:w="3314" w:type="pct"/>
            <w:shd w:val="clear" w:color="auto" w:fill="auto"/>
            <w:tcMar>
              <w:top w:w="0" w:type="dxa"/>
              <w:bottom w:w="0" w:type="dxa"/>
            </w:tcMar>
            <w:vAlign w:val="center"/>
          </w:tcPr>
          <w:p w14:paraId="1C286EF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Retained profit in 2023 after appropriation for funds as prescribed</w:t>
            </w:r>
          </w:p>
        </w:tc>
        <w:tc>
          <w:tcPr>
            <w:tcW w:w="1305" w:type="pct"/>
            <w:shd w:val="clear" w:color="auto" w:fill="auto"/>
            <w:tcMar>
              <w:top w:w="0" w:type="dxa"/>
              <w:bottom w:w="0" w:type="dxa"/>
            </w:tcMar>
            <w:vAlign w:val="center"/>
          </w:tcPr>
          <w:p w14:paraId="56356C2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48,082,461,490</w:t>
            </w:r>
          </w:p>
        </w:tc>
      </w:tr>
    </w:tbl>
    <w:p w14:paraId="03A5A36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lastRenderedPageBreak/>
        <w:t>‎‎Article 9. Approve Proposal No. 51/24/BVBank/TT-HDQT dated March 28, 2024 of the Board of Directors on the total remuneration, executive allowances and operating expenses of members of the Board of Directors in 2024.</w:t>
      </w:r>
    </w:p>
    <w:p w14:paraId="047A15A3" w14:textId="77777777" w:rsidR="00FA3763" w:rsidRPr="00C86700" w:rsidRDefault="008B42A3" w:rsidP="007F4E1E">
      <w:pPr>
        <w:numPr>
          <w:ilvl w:val="0"/>
          <w:numId w:val="3"/>
        </w:numPr>
        <w:pBdr>
          <w:top w:val="nil"/>
          <w:left w:val="nil"/>
          <w:bottom w:val="nil"/>
          <w:right w:val="nil"/>
          <w:between w:val="nil"/>
        </w:pBdr>
        <w:tabs>
          <w:tab w:val="left" w:pos="432"/>
          <w:tab w:val="left" w:pos="2325"/>
        </w:tabs>
        <w:spacing w:after="120" w:line="360" w:lineRule="auto"/>
        <w:jc w:val="both"/>
        <w:rPr>
          <w:rFonts w:ascii="Arial" w:eastAsia="Arial" w:hAnsi="Arial" w:cs="Arial"/>
          <w:color w:val="010000"/>
          <w:sz w:val="20"/>
          <w:szCs w:val="20"/>
        </w:rPr>
      </w:pPr>
      <w:r w:rsidRPr="00C86700">
        <w:rPr>
          <w:rFonts w:ascii="Arial" w:hAnsi="Arial" w:cs="Arial"/>
          <w:color w:val="010000"/>
          <w:sz w:val="20"/>
        </w:rPr>
        <w:t>Total remuneration, allowances and bonuses in 2024 of the Board of Directors: VND 09 billion</w:t>
      </w:r>
    </w:p>
    <w:p w14:paraId="5A9CCDAE" w14:textId="77777777" w:rsidR="00FA3763" w:rsidRPr="00C86700" w:rsidRDefault="008B42A3" w:rsidP="007F4E1E">
      <w:pPr>
        <w:numPr>
          <w:ilvl w:val="0"/>
          <w:numId w:val="3"/>
        </w:numPr>
        <w:pBdr>
          <w:top w:val="nil"/>
          <w:left w:val="nil"/>
          <w:bottom w:val="nil"/>
          <w:right w:val="nil"/>
          <w:between w:val="nil"/>
        </w:pBdr>
        <w:tabs>
          <w:tab w:val="left" w:pos="432"/>
          <w:tab w:val="left" w:pos="2325"/>
        </w:tabs>
        <w:spacing w:after="120" w:line="360" w:lineRule="auto"/>
        <w:jc w:val="both"/>
        <w:rPr>
          <w:rFonts w:ascii="Arial" w:eastAsia="Arial" w:hAnsi="Arial" w:cs="Arial"/>
          <w:color w:val="010000"/>
          <w:sz w:val="20"/>
          <w:szCs w:val="20"/>
        </w:rPr>
      </w:pPr>
      <w:r w:rsidRPr="00C86700">
        <w:rPr>
          <w:rFonts w:ascii="Arial" w:hAnsi="Arial" w:cs="Arial"/>
          <w:color w:val="010000"/>
          <w:sz w:val="20"/>
        </w:rPr>
        <w:t>Operating expenses of the Board of Directors will be implemented in accordance with BVBank's internal regulations and current legal regulations.</w:t>
      </w:r>
    </w:p>
    <w:p w14:paraId="4C8B6048" w14:textId="77777777" w:rsidR="00FA3763" w:rsidRPr="00C86700" w:rsidRDefault="008B42A3" w:rsidP="007F4E1E">
      <w:pPr>
        <w:numPr>
          <w:ilvl w:val="0"/>
          <w:numId w:val="3"/>
        </w:numPr>
        <w:pBdr>
          <w:top w:val="nil"/>
          <w:left w:val="nil"/>
          <w:bottom w:val="nil"/>
          <w:right w:val="nil"/>
          <w:between w:val="nil"/>
        </w:pBdr>
        <w:tabs>
          <w:tab w:val="left" w:pos="432"/>
          <w:tab w:val="left" w:pos="2325"/>
        </w:tabs>
        <w:spacing w:after="120" w:line="360" w:lineRule="auto"/>
        <w:jc w:val="both"/>
        <w:rPr>
          <w:rFonts w:ascii="Arial" w:eastAsia="Arial" w:hAnsi="Arial" w:cs="Arial"/>
          <w:color w:val="010000"/>
          <w:sz w:val="20"/>
          <w:szCs w:val="20"/>
        </w:rPr>
      </w:pPr>
      <w:r w:rsidRPr="00C86700">
        <w:rPr>
          <w:rFonts w:ascii="Arial" w:hAnsi="Arial" w:cs="Arial"/>
          <w:color w:val="010000"/>
          <w:sz w:val="20"/>
        </w:rPr>
        <w:t>Authorize the Board of Directors to decide the remuneration, bonus and other benefits for each member of the Board of Directors based on the business results of BVBank.</w:t>
      </w:r>
    </w:p>
    <w:p w14:paraId="19F97C5B"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10. Approve Proposal No. 52/24/BVBank/TT-HDQT dated March 28, 2024 of the Board of Directors on approving the Plan to increase charter capital in 2024 of BVBank.</w:t>
      </w:r>
    </w:p>
    <w:p w14:paraId="13246C81"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11. Approve Proposal No. 53/24/BVBank/TT-HDQT dated March 28, 2024 of the Board of Directors on the transfer of BVB shares from UPCOM to listing on the Stock Exchange,</w:t>
      </w:r>
    </w:p>
    <w:p w14:paraId="7763423D"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12. Approve Proposal No. 54/24/BVBank/TT-HDQT dated March 28, 2024 of the Board of Directors on promulgating Internal Regulations on bank governance.</w:t>
      </w:r>
    </w:p>
    <w:p w14:paraId="35F112E6" w14:textId="77777777" w:rsidR="00FA3763" w:rsidRPr="00C86700" w:rsidRDefault="008B42A3" w:rsidP="007F4E1E">
      <w:pPr>
        <w:numPr>
          <w:ilvl w:val="0"/>
          <w:numId w:val="3"/>
        </w:numPr>
        <w:pBdr>
          <w:top w:val="nil"/>
          <w:left w:val="nil"/>
          <w:bottom w:val="nil"/>
          <w:right w:val="nil"/>
          <w:between w:val="nil"/>
        </w:pBdr>
        <w:tabs>
          <w:tab w:val="left" w:pos="432"/>
          <w:tab w:val="left" w:pos="2289"/>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Internal Regulations on BVBank's bank governance, detailed in Appendix 01 attached to this General Mandate.</w:t>
      </w:r>
    </w:p>
    <w:p w14:paraId="7C6EDB64" w14:textId="77777777" w:rsidR="00FA3763" w:rsidRPr="00C86700" w:rsidRDefault="008B42A3" w:rsidP="007F4E1E">
      <w:pPr>
        <w:numPr>
          <w:ilvl w:val="0"/>
          <w:numId w:val="3"/>
        </w:numPr>
        <w:pBdr>
          <w:top w:val="nil"/>
          <w:left w:val="nil"/>
          <w:bottom w:val="nil"/>
          <w:right w:val="nil"/>
          <w:between w:val="nil"/>
        </w:pBdr>
        <w:tabs>
          <w:tab w:val="left" w:pos="432"/>
          <w:tab w:val="left" w:pos="2289"/>
        </w:tabs>
        <w:spacing w:after="120" w:line="360" w:lineRule="auto"/>
        <w:jc w:val="both"/>
        <w:rPr>
          <w:rFonts w:ascii="Arial" w:eastAsia="Arial" w:hAnsi="Arial" w:cs="Arial"/>
          <w:color w:val="010000"/>
          <w:sz w:val="20"/>
          <w:szCs w:val="20"/>
        </w:rPr>
      </w:pPr>
      <w:r w:rsidRPr="00C86700">
        <w:rPr>
          <w:rFonts w:ascii="Arial" w:hAnsi="Arial" w:cs="Arial"/>
          <w:color w:val="010000"/>
          <w:sz w:val="20"/>
        </w:rPr>
        <w:t>Assign the Chair of the Board of Directors to sign and implement according to regulations.</w:t>
      </w:r>
    </w:p>
    <w:p w14:paraId="43E3835D" w14:textId="0D37D682" w:rsidR="00FA3763" w:rsidRPr="00C86700" w:rsidRDefault="008B42A3" w:rsidP="007F4E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6700">
        <w:rPr>
          <w:rFonts w:ascii="Arial" w:hAnsi="Arial" w:cs="Arial"/>
          <w:color w:val="010000"/>
          <w:sz w:val="20"/>
        </w:rPr>
        <w:t>‎‎Article 13. Approve Proposal No. 55/24/BVBank/TT-HDQT dated March 28, 2024 of the Board of Directors on promulgating the Operating Regulations of the Board of Directors.</w:t>
      </w:r>
    </w:p>
    <w:p w14:paraId="0A336054" w14:textId="77777777" w:rsidR="00FA3763" w:rsidRPr="00C86700" w:rsidRDefault="008B42A3" w:rsidP="007F4E1E">
      <w:pPr>
        <w:numPr>
          <w:ilvl w:val="0"/>
          <w:numId w:val="3"/>
        </w:numPr>
        <w:pBdr>
          <w:top w:val="nil"/>
          <w:left w:val="nil"/>
          <w:bottom w:val="nil"/>
          <w:right w:val="nil"/>
          <w:between w:val="nil"/>
        </w:pBdr>
        <w:tabs>
          <w:tab w:val="left" w:pos="432"/>
          <w:tab w:val="left" w:pos="2289"/>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Operating Regulations of the Board of Directors of BVBank, detailed in Appendix 02 attached to this General Mandate.</w:t>
      </w:r>
    </w:p>
    <w:p w14:paraId="70032C50" w14:textId="77777777" w:rsidR="00FA3763" w:rsidRPr="00C86700" w:rsidRDefault="008B42A3" w:rsidP="007F4E1E">
      <w:pPr>
        <w:numPr>
          <w:ilvl w:val="0"/>
          <w:numId w:val="3"/>
        </w:numPr>
        <w:pBdr>
          <w:top w:val="nil"/>
          <w:left w:val="nil"/>
          <w:bottom w:val="nil"/>
          <w:right w:val="nil"/>
          <w:between w:val="nil"/>
        </w:pBdr>
        <w:tabs>
          <w:tab w:val="left" w:pos="432"/>
          <w:tab w:val="left" w:pos="2289"/>
        </w:tabs>
        <w:spacing w:after="120" w:line="360" w:lineRule="auto"/>
        <w:jc w:val="both"/>
        <w:rPr>
          <w:rFonts w:ascii="Arial" w:eastAsia="Arial" w:hAnsi="Arial" w:cs="Arial"/>
          <w:color w:val="010000"/>
          <w:sz w:val="20"/>
          <w:szCs w:val="20"/>
        </w:rPr>
      </w:pPr>
      <w:r w:rsidRPr="00C86700">
        <w:rPr>
          <w:rFonts w:ascii="Arial" w:hAnsi="Arial" w:cs="Arial"/>
          <w:color w:val="010000"/>
          <w:sz w:val="20"/>
        </w:rPr>
        <w:t>Assign the Chair of the Board of Directors to sign and implement according to regulations.</w:t>
      </w:r>
    </w:p>
    <w:p w14:paraId="44C7E2F0" w14:textId="77777777" w:rsidR="00FA3763" w:rsidRPr="00C86700" w:rsidRDefault="008B42A3" w:rsidP="007F4E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6700">
        <w:rPr>
          <w:rFonts w:ascii="Arial" w:hAnsi="Arial" w:cs="Arial"/>
          <w:color w:val="010000"/>
          <w:sz w:val="20"/>
        </w:rPr>
        <w:t>‎‎Article 14. Approve Proposal No. 16/24/BVBank/TT-BKS dated March 28, 2024 of the Supervisory Board on promulgating the Operating Regulations of the Supervisory Board.</w:t>
      </w:r>
    </w:p>
    <w:p w14:paraId="4359DDFD" w14:textId="77777777" w:rsidR="00FA3763" w:rsidRPr="00C86700" w:rsidRDefault="008B42A3" w:rsidP="007F4E1E">
      <w:pPr>
        <w:numPr>
          <w:ilvl w:val="0"/>
          <w:numId w:val="3"/>
        </w:numPr>
        <w:pBdr>
          <w:top w:val="nil"/>
          <w:left w:val="nil"/>
          <w:bottom w:val="nil"/>
          <w:right w:val="nil"/>
          <w:between w:val="nil"/>
        </w:pBdr>
        <w:tabs>
          <w:tab w:val="left" w:pos="432"/>
          <w:tab w:val="left" w:pos="2289"/>
        </w:tabs>
        <w:spacing w:after="120" w:line="360" w:lineRule="auto"/>
        <w:jc w:val="both"/>
        <w:rPr>
          <w:rFonts w:ascii="Arial" w:eastAsia="Arial" w:hAnsi="Arial" w:cs="Arial"/>
          <w:color w:val="010000"/>
          <w:sz w:val="20"/>
          <w:szCs w:val="20"/>
        </w:rPr>
      </w:pPr>
      <w:r w:rsidRPr="00C86700">
        <w:rPr>
          <w:rFonts w:ascii="Arial" w:hAnsi="Arial" w:cs="Arial"/>
          <w:color w:val="010000"/>
          <w:sz w:val="20"/>
        </w:rPr>
        <w:t>Approve the Operating Regulations of BVBank's Supervisory Board, detailed in Appendix 03 attached to this General Mandate.</w:t>
      </w:r>
    </w:p>
    <w:p w14:paraId="69A613B7" w14:textId="77777777" w:rsidR="00FA3763" w:rsidRPr="00C86700" w:rsidRDefault="008B42A3" w:rsidP="007F4E1E">
      <w:pPr>
        <w:numPr>
          <w:ilvl w:val="0"/>
          <w:numId w:val="3"/>
        </w:numPr>
        <w:pBdr>
          <w:top w:val="nil"/>
          <w:left w:val="nil"/>
          <w:bottom w:val="nil"/>
          <w:right w:val="nil"/>
          <w:between w:val="nil"/>
        </w:pBdr>
        <w:tabs>
          <w:tab w:val="left" w:pos="432"/>
          <w:tab w:val="left" w:pos="2289"/>
        </w:tabs>
        <w:spacing w:after="120" w:line="360" w:lineRule="auto"/>
        <w:jc w:val="both"/>
        <w:rPr>
          <w:rFonts w:ascii="Arial" w:eastAsia="Arial" w:hAnsi="Arial" w:cs="Arial"/>
          <w:color w:val="010000"/>
          <w:sz w:val="20"/>
          <w:szCs w:val="20"/>
        </w:rPr>
      </w:pPr>
      <w:r w:rsidRPr="00C86700">
        <w:rPr>
          <w:rFonts w:ascii="Arial" w:hAnsi="Arial" w:cs="Arial"/>
          <w:color w:val="010000"/>
          <w:sz w:val="20"/>
        </w:rPr>
        <w:t>Assign the Supervisory Board to sign and implement according to regulations.</w:t>
      </w:r>
    </w:p>
    <w:p w14:paraId="234F4766"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15. Approve Proposal No. 56/24/BVBank/TT-HDQT dated March 28, 2024 of the Board of Directors on amending, supplementing and promulgating the Charter of BVBank.</w:t>
      </w:r>
    </w:p>
    <w:p w14:paraId="3372C775"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16. Approve Proposal No. 57/24/BVBank/TT-HDQT dated March 28, 2024 on the contents authorized by the General Meeting of Shareholders to the Board of Directors.</w:t>
      </w:r>
    </w:p>
    <w:p w14:paraId="555A9E35" w14:textId="77777777" w:rsidR="00FA3763" w:rsidRPr="00C86700" w:rsidRDefault="008B42A3" w:rsidP="007F4E1E">
      <w:pPr>
        <w:numPr>
          <w:ilvl w:val="0"/>
          <w:numId w:val="3"/>
        </w:numPr>
        <w:pBdr>
          <w:top w:val="nil"/>
          <w:left w:val="nil"/>
          <w:bottom w:val="nil"/>
          <w:right w:val="nil"/>
          <w:between w:val="nil"/>
        </w:pBdr>
        <w:tabs>
          <w:tab w:val="left" w:pos="432"/>
          <w:tab w:val="left" w:pos="2289"/>
        </w:tabs>
        <w:spacing w:after="120" w:line="360" w:lineRule="auto"/>
        <w:jc w:val="both"/>
        <w:rPr>
          <w:rFonts w:ascii="Arial" w:eastAsia="Arial" w:hAnsi="Arial" w:cs="Arial"/>
          <w:color w:val="010000"/>
          <w:sz w:val="20"/>
          <w:szCs w:val="20"/>
        </w:rPr>
      </w:pPr>
      <w:r w:rsidRPr="00C86700">
        <w:rPr>
          <w:rFonts w:ascii="Arial" w:hAnsi="Arial" w:cs="Arial"/>
          <w:color w:val="010000"/>
          <w:sz w:val="20"/>
        </w:rPr>
        <w:t xml:space="preserve">Decide on the plan on capital contribution and share purchase of enterprises with a value of 20% or more of the Bank's charter capital as stated in the most recent Audited Financial Statements; establish or acquire subsidiaries, joint ventures to carry out business activities in accordance with </w:t>
      </w:r>
      <w:r w:rsidRPr="00C86700">
        <w:rPr>
          <w:rFonts w:ascii="Arial" w:hAnsi="Arial" w:cs="Arial"/>
          <w:color w:val="010000"/>
          <w:sz w:val="20"/>
        </w:rPr>
        <w:lastRenderedPageBreak/>
        <w:t>current legal regulations;</w:t>
      </w:r>
    </w:p>
    <w:p w14:paraId="107434C5" w14:textId="77777777" w:rsidR="00FA3763" w:rsidRPr="00C86700" w:rsidRDefault="008B42A3" w:rsidP="007F4E1E">
      <w:pPr>
        <w:numPr>
          <w:ilvl w:val="0"/>
          <w:numId w:val="3"/>
        </w:numPr>
        <w:pBdr>
          <w:top w:val="nil"/>
          <w:left w:val="nil"/>
          <w:bottom w:val="nil"/>
          <w:right w:val="nil"/>
          <w:between w:val="nil"/>
        </w:pBdr>
        <w:tabs>
          <w:tab w:val="left" w:pos="432"/>
          <w:tab w:val="left" w:pos="2289"/>
        </w:tabs>
        <w:spacing w:after="120" w:line="360" w:lineRule="auto"/>
        <w:jc w:val="both"/>
        <w:rPr>
          <w:rFonts w:ascii="Arial" w:eastAsia="Arial" w:hAnsi="Arial" w:cs="Arial"/>
          <w:color w:val="010000"/>
          <w:sz w:val="20"/>
          <w:szCs w:val="20"/>
        </w:rPr>
      </w:pPr>
      <w:r w:rsidRPr="00C86700">
        <w:rPr>
          <w:rFonts w:ascii="Arial" w:hAnsi="Arial" w:cs="Arial"/>
          <w:color w:val="010000"/>
          <w:sz w:val="20"/>
        </w:rPr>
        <w:t>Decide on the handling of credit and non-credit loss risks, including the use of reserve funds, exemption and reduction of interest, etc., in order to accelerate the recovery of debts and other receivables according to regulations on quick recovery of capital put into the business. Decide on solutions to overcome major financial fluctuations of the Bank;</w:t>
      </w:r>
    </w:p>
    <w:p w14:paraId="5519110D" w14:textId="77777777" w:rsidR="00FA3763" w:rsidRPr="00C86700" w:rsidRDefault="008B42A3" w:rsidP="007F4E1E">
      <w:pPr>
        <w:numPr>
          <w:ilvl w:val="0"/>
          <w:numId w:val="3"/>
        </w:numPr>
        <w:pBdr>
          <w:top w:val="nil"/>
          <w:left w:val="nil"/>
          <w:bottom w:val="nil"/>
          <w:right w:val="nil"/>
          <w:between w:val="nil"/>
        </w:pBdr>
        <w:tabs>
          <w:tab w:val="left" w:pos="432"/>
          <w:tab w:val="left" w:pos="2289"/>
        </w:tabs>
        <w:spacing w:after="120" w:line="360" w:lineRule="auto"/>
        <w:jc w:val="both"/>
        <w:rPr>
          <w:rFonts w:ascii="Arial" w:eastAsia="Arial" w:hAnsi="Arial" w:cs="Arial"/>
          <w:color w:val="010000"/>
          <w:sz w:val="20"/>
          <w:szCs w:val="20"/>
        </w:rPr>
      </w:pPr>
      <w:r w:rsidRPr="00C86700">
        <w:rPr>
          <w:rFonts w:ascii="Arial" w:hAnsi="Arial" w:cs="Arial"/>
          <w:color w:val="010000"/>
          <w:sz w:val="20"/>
        </w:rPr>
        <w:t>Decide on the project of foreign activities; decide on investment plans, the purchase and sale of assets, construction of material foundations and technical equipment; decide on an investment, the purchase and sale of assets of the Bank with a value of 20% or more of the Charter capital of the Bank recorded in the most recent Audited Financial Statements to meet the requirements of business operations;</w:t>
      </w:r>
    </w:p>
    <w:p w14:paraId="3DB0155C" w14:textId="77777777" w:rsidR="00FA3763" w:rsidRPr="00C86700" w:rsidRDefault="008B42A3" w:rsidP="007F4E1E">
      <w:pPr>
        <w:numPr>
          <w:ilvl w:val="0"/>
          <w:numId w:val="3"/>
        </w:numPr>
        <w:pBdr>
          <w:top w:val="nil"/>
          <w:left w:val="nil"/>
          <w:bottom w:val="nil"/>
          <w:right w:val="nil"/>
          <w:between w:val="nil"/>
        </w:pBdr>
        <w:tabs>
          <w:tab w:val="left" w:pos="432"/>
          <w:tab w:val="left" w:pos="2289"/>
        </w:tabs>
        <w:spacing w:after="120" w:line="360" w:lineRule="auto"/>
        <w:jc w:val="both"/>
        <w:rPr>
          <w:rFonts w:ascii="Arial" w:eastAsia="Arial" w:hAnsi="Arial" w:cs="Arial"/>
          <w:color w:val="010000"/>
          <w:sz w:val="20"/>
          <w:szCs w:val="20"/>
        </w:rPr>
      </w:pPr>
      <w:r w:rsidRPr="00C86700">
        <w:rPr>
          <w:rFonts w:ascii="Arial" w:hAnsi="Arial" w:cs="Arial"/>
          <w:color w:val="010000"/>
          <w:sz w:val="20"/>
        </w:rPr>
        <w:t>Decide on contracts with a value of more than 20% of the Bank's charter capital recorded in the most recent Audited Financial Statements between the Bank and members of the Board of Directors, members of the Supervisory Board, the General Manager, major shareholders, affiliated persons of managers, members of the Supervisory Board, major shareholders of the Bank, subsidiaries and joint ventures of the Bank;</w:t>
      </w:r>
    </w:p>
    <w:p w14:paraId="27304B02" w14:textId="77777777" w:rsidR="00FA3763" w:rsidRPr="00C86700" w:rsidRDefault="008B42A3" w:rsidP="007F4E1E">
      <w:pPr>
        <w:numPr>
          <w:ilvl w:val="0"/>
          <w:numId w:val="3"/>
        </w:numPr>
        <w:pBdr>
          <w:top w:val="nil"/>
          <w:left w:val="nil"/>
          <w:bottom w:val="nil"/>
          <w:right w:val="nil"/>
          <w:between w:val="nil"/>
        </w:pBdr>
        <w:tabs>
          <w:tab w:val="left" w:pos="432"/>
          <w:tab w:val="left" w:pos="2207"/>
        </w:tabs>
        <w:spacing w:after="120" w:line="360" w:lineRule="auto"/>
        <w:jc w:val="both"/>
        <w:rPr>
          <w:rFonts w:ascii="Arial" w:eastAsia="Arial" w:hAnsi="Arial" w:cs="Arial"/>
          <w:color w:val="010000"/>
          <w:sz w:val="20"/>
          <w:szCs w:val="20"/>
        </w:rPr>
      </w:pPr>
      <w:r w:rsidRPr="00C86700">
        <w:rPr>
          <w:rFonts w:ascii="Arial" w:hAnsi="Arial" w:cs="Arial"/>
          <w:color w:val="010000"/>
          <w:sz w:val="20"/>
        </w:rPr>
        <w:t>Decide on participation in support and the plan for handling and restructuring the People's Credit Fund(s) submitted to the State Bank of Vietnam and competent agencies for consideration and approval. Edit, complete and implement the Plan in accordance with regulations and guidance of the State Bank of Vietnam to improve the Bank's reputation and brand in the financial market.</w:t>
      </w:r>
    </w:p>
    <w:p w14:paraId="02BA4460" w14:textId="77777777" w:rsidR="00FA3763" w:rsidRPr="00C86700" w:rsidRDefault="008B42A3" w:rsidP="007F4E1E">
      <w:pPr>
        <w:numPr>
          <w:ilvl w:val="0"/>
          <w:numId w:val="3"/>
        </w:numPr>
        <w:pBdr>
          <w:top w:val="nil"/>
          <w:left w:val="nil"/>
          <w:bottom w:val="nil"/>
          <w:right w:val="nil"/>
          <w:between w:val="nil"/>
        </w:pBdr>
        <w:tabs>
          <w:tab w:val="left" w:pos="432"/>
          <w:tab w:val="left" w:pos="2207"/>
        </w:tabs>
        <w:spacing w:after="120" w:line="360" w:lineRule="auto"/>
        <w:jc w:val="both"/>
        <w:rPr>
          <w:rFonts w:ascii="Arial" w:eastAsia="Arial" w:hAnsi="Arial" w:cs="Arial"/>
          <w:color w:val="010000"/>
          <w:sz w:val="20"/>
          <w:szCs w:val="20"/>
        </w:rPr>
      </w:pPr>
      <w:r w:rsidRPr="00C86700">
        <w:rPr>
          <w:rFonts w:ascii="Arial" w:hAnsi="Arial" w:cs="Arial"/>
          <w:color w:val="010000"/>
          <w:sz w:val="20"/>
        </w:rPr>
        <w:t>Consider adjusting the targets in the business plan for 2024 in line with the actual situation under the direction of the Government, the State Bank of Vietnam and the Bank's business activities.</w:t>
      </w:r>
    </w:p>
    <w:p w14:paraId="3EDDD6A4" w14:textId="77777777" w:rsidR="00FA3763" w:rsidRPr="00C86700" w:rsidRDefault="008B42A3" w:rsidP="007F4E1E">
      <w:pPr>
        <w:numPr>
          <w:ilvl w:val="0"/>
          <w:numId w:val="3"/>
        </w:numPr>
        <w:pBdr>
          <w:top w:val="nil"/>
          <w:left w:val="nil"/>
          <w:bottom w:val="nil"/>
          <w:right w:val="nil"/>
          <w:between w:val="nil"/>
        </w:pBdr>
        <w:tabs>
          <w:tab w:val="left" w:pos="432"/>
          <w:tab w:val="left" w:pos="2207"/>
        </w:tabs>
        <w:spacing w:after="120" w:line="360" w:lineRule="auto"/>
        <w:jc w:val="both"/>
        <w:rPr>
          <w:rFonts w:ascii="Arial" w:eastAsia="Arial" w:hAnsi="Arial" w:cs="Arial"/>
          <w:color w:val="010000"/>
          <w:sz w:val="20"/>
          <w:szCs w:val="20"/>
        </w:rPr>
      </w:pPr>
      <w:r w:rsidRPr="00C86700">
        <w:rPr>
          <w:rFonts w:ascii="Arial" w:hAnsi="Arial" w:cs="Arial"/>
          <w:color w:val="010000"/>
          <w:sz w:val="20"/>
        </w:rPr>
        <w:t>Decide and direct the implementation of procedures related to the listing of Securities issued to the public of the Bank after the completion of the issuances on the securities trading system/Stock Exchange in accordance with the provisions of law.</w:t>
      </w:r>
    </w:p>
    <w:p w14:paraId="5F801B29"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17. Responsibility for implementing the General Mandate</w:t>
      </w:r>
    </w:p>
    <w:p w14:paraId="509ECC9C"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The General Meeting of Shareholders agrees to assign the Board of Directors, the Supervisory Board and the Executive Board of BVBank to be responsible for disseminating and implementing the approved contents stated in this General Mandate.</w:t>
      </w:r>
    </w:p>
    <w:p w14:paraId="771C58E8"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r w:rsidRPr="00C86700">
        <w:rPr>
          <w:rFonts w:ascii="Arial" w:hAnsi="Arial" w:cs="Arial"/>
          <w:color w:val="010000"/>
          <w:sz w:val="20"/>
        </w:rPr>
        <w:t>‎‎Article 18. Effectiveness of enforcement</w:t>
      </w:r>
    </w:p>
    <w:p w14:paraId="158BAD20" w14:textId="77777777" w:rsidR="00FA3763" w:rsidRPr="00C86700" w:rsidRDefault="008B42A3" w:rsidP="007F4E1E">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C86700">
        <w:rPr>
          <w:rFonts w:ascii="Arial" w:hAnsi="Arial" w:cs="Arial"/>
          <w:color w:val="010000"/>
          <w:sz w:val="20"/>
        </w:rPr>
        <w:t>This General Mandate takes effect from April 19, 2024. The Board of Directors are responsible for reporting situation and result of implementation of this General Mandate in the next Annual Meeting./.</w:t>
      </w:r>
    </w:p>
    <w:sectPr w:rsidR="00FA3763" w:rsidRPr="00C86700" w:rsidSect="00973DC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EBF"/>
    <w:multiLevelType w:val="multilevel"/>
    <w:tmpl w:val="85B26B4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8980C6C"/>
    <w:multiLevelType w:val="multilevel"/>
    <w:tmpl w:val="92B6F2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9F77DC"/>
    <w:multiLevelType w:val="multilevel"/>
    <w:tmpl w:val="FF60D22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E51127"/>
    <w:multiLevelType w:val="multilevel"/>
    <w:tmpl w:val="89FAA7C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887207"/>
    <w:multiLevelType w:val="multilevel"/>
    <w:tmpl w:val="6C9043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63"/>
    <w:rsid w:val="007F4E1E"/>
    <w:rsid w:val="008B42A3"/>
    <w:rsid w:val="00973DC6"/>
    <w:rsid w:val="00C86700"/>
    <w:rsid w:val="00FA376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D643C"/>
  <w15:docId w15:val="{BC4FE564-D5A4-4BA6-AB04-38875C9D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strike w:val="0"/>
      <w:color w:val="971F27"/>
      <w:sz w:val="28"/>
      <w:szCs w:val="28"/>
      <w:u w:val="none"/>
      <w:shd w:val="clear" w:color="auto" w:fill="auto"/>
    </w:rPr>
  </w:style>
  <w:style w:type="paragraph" w:customStyle="1" w:styleId="Bodytext20">
    <w:name w:val="Body text (2)"/>
    <w:basedOn w:val="Normal"/>
    <w:link w:val="Bodytext2"/>
    <w:pPr>
      <w:spacing w:line="295" w:lineRule="auto"/>
      <w:ind w:left="1960"/>
    </w:pPr>
    <w:rPr>
      <w:rFonts w:ascii="Times New Roman" w:eastAsia="Times New Roman" w:hAnsi="Times New Roman" w:cs="Times New Roman"/>
      <w:i/>
      <w:iCs/>
      <w:sz w:val="20"/>
      <w:szCs w:val="20"/>
    </w:rPr>
  </w:style>
  <w:style w:type="paragraph" w:styleId="BodyText">
    <w:name w:val="Body Text"/>
    <w:basedOn w:val="Normal"/>
    <w:link w:val="BodyTextChar"/>
    <w:qFormat/>
    <w:pPr>
      <w:spacing w:line="298"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394" w:lineRule="auto"/>
      <w:ind w:left="2490"/>
      <w:jc w:val="center"/>
      <w:outlineLvl w:val="0"/>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266" w:lineRule="auto"/>
      <w:ind w:left="4980"/>
      <w:outlineLvl w:val="2"/>
    </w:pPr>
    <w:rPr>
      <w:rFonts w:ascii="Times New Roman" w:eastAsia="Times New Roman" w:hAnsi="Times New Roman" w:cs="Times New Roman"/>
      <w:b/>
      <w:bCs/>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F0000"/>
      <w:sz w:val="15"/>
      <w:szCs w:val="15"/>
    </w:rPr>
  </w:style>
  <w:style w:type="paragraph" w:customStyle="1" w:styleId="Tablecaption0">
    <w:name w:val="Table caption"/>
    <w:basedOn w:val="Normal"/>
    <w:link w:val="Tablecaption"/>
    <w:pPr>
      <w:spacing w:line="300" w:lineRule="auto"/>
    </w:pPr>
    <w:rPr>
      <w:rFonts w:ascii="Times New Roman" w:eastAsia="Times New Roman" w:hAnsi="Times New Roman" w:cs="Times New Roman"/>
      <w:i/>
      <w:iCs/>
      <w:sz w:val="19"/>
      <w:szCs w:val="19"/>
    </w:rPr>
  </w:style>
  <w:style w:type="paragraph" w:customStyle="1" w:styleId="Other0">
    <w:name w:val="Other"/>
    <w:basedOn w:val="Normal"/>
    <w:link w:val="Other"/>
    <w:pPr>
      <w:spacing w:line="298"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391" w:lineRule="auto"/>
      <w:ind w:left="6600"/>
      <w:outlineLvl w:val="1"/>
    </w:pPr>
    <w:rPr>
      <w:rFonts w:ascii="Arial" w:eastAsia="Arial" w:hAnsi="Arial" w:cs="Arial"/>
      <w:smallCaps/>
      <w:color w:val="971F27"/>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amiPERZCWe27O5apBhpRK79cnQ==">CgMxLjAyCGguZ2pkZ3hzOAByITFOODZGQjJIOVZaSkxJcHo1a3RyRl9CZDZNQkhZc25pbA==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2024-04-22T04:25:00Z</dcterms:created>
  <dcterms:modified xsi:type="dcterms:W3CDTF">2024-04-24T03:42:00Z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e57ac547ffe64ffbf7d24022ba9ac6d35c1aa771cf571b7cc6112fe12a39a4d6</vt:lpwstr>
  </property>
</Properties>
</file>