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7043E" w14:textId="77777777" w:rsidR="00FB48B1" w:rsidRPr="00123F7E" w:rsidRDefault="0032087F" w:rsidP="0032087F">
      <w:pPr>
        <w:keepNext/>
        <w:pBdr>
          <w:top w:val="nil"/>
          <w:left w:val="nil"/>
          <w:bottom w:val="nil"/>
          <w:right w:val="nil"/>
          <w:between w:val="nil"/>
        </w:pBdr>
        <w:tabs>
          <w:tab w:val="left" w:pos="432"/>
        </w:tabs>
        <w:spacing w:after="120" w:line="360" w:lineRule="auto"/>
        <w:rPr>
          <w:rFonts w:ascii="Arial" w:eastAsia="Arial" w:hAnsi="Arial" w:cs="Arial"/>
          <w:b/>
          <w:color w:val="010000"/>
          <w:sz w:val="20"/>
          <w:szCs w:val="20"/>
        </w:rPr>
      </w:pPr>
      <w:r w:rsidRPr="00123F7E">
        <w:rPr>
          <w:rFonts w:ascii="Arial" w:hAnsi="Arial" w:cs="Arial"/>
          <w:b/>
          <w:color w:val="010000"/>
          <w:sz w:val="20"/>
        </w:rPr>
        <w:t xml:space="preserve">DCT: </w:t>
      </w:r>
      <w:bookmarkStart w:id="0" w:name="_GoBack"/>
      <w:r w:rsidRPr="00123F7E">
        <w:rPr>
          <w:rFonts w:ascii="Arial" w:hAnsi="Arial" w:cs="Arial"/>
          <w:b/>
          <w:color w:val="010000"/>
          <w:sz w:val="20"/>
        </w:rPr>
        <w:t xml:space="preserve">Explanation on Financial Statements 2023 </w:t>
      </w:r>
      <w:bookmarkEnd w:id="0"/>
    </w:p>
    <w:p w14:paraId="6F2A6842" w14:textId="2CF35CE2" w:rsidR="00FB48B1" w:rsidRPr="00123F7E" w:rsidRDefault="0032087F" w:rsidP="0032087F">
      <w:pPr>
        <w:keepNext/>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23F7E">
        <w:rPr>
          <w:rFonts w:ascii="Arial" w:hAnsi="Arial" w:cs="Arial"/>
          <w:color w:val="010000"/>
          <w:sz w:val="20"/>
        </w:rPr>
        <w:t xml:space="preserve">On April 18, 2024, Dong </w:t>
      </w:r>
      <w:proofErr w:type="spellStart"/>
      <w:r w:rsidRPr="00123F7E">
        <w:rPr>
          <w:rFonts w:ascii="Arial" w:hAnsi="Arial" w:cs="Arial"/>
          <w:color w:val="010000"/>
          <w:sz w:val="20"/>
        </w:rPr>
        <w:t>Nai</w:t>
      </w:r>
      <w:proofErr w:type="spellEnd"/>
      <w:r w:rsidRPr="00123F7E">
        <w:rPr>
          <w:rFonts w:ascii="Arial" w:hAnsi="Arial" w:cs="Arial"/>
          <w:color w:val="010000"/>
          <w:sz w:val="20"/>
        </w:rPr>
        <w:t xml:space="preserve"> Roof Sheet &amp; Construction Joint Stock Company announced Official Dispatch No. 1204/TL on explaining the fluctuations of over 10% of business results in 2023 compared to </w:t>
      </w:r>
      <w:r w:rsidR="00123F7E" w:rsidRPr="00123F7E">
        <w:rPr>
          <w:rFonts w:ascii="Arial" w:hAnsi="Arial" w:cs="Arial"/>
          <w:color w:val="010000"/>
          <w:sz w:val="20"/>
        </w:rPr>
        <w:t>that</w:t>
      </w:r>
      <w:r w:rsidRPr="00123F7E">
        <w:rPr>
          <w:rFonts w:ascii="Arial" w:hAnsi="Arial" w:cs="Arial"/>
          <w:color w:val="010000"/>
          <w:sz w:val="20"/>
        </w:rPr>
        <w:t xml:space="preserve"> in the same period in 2022 as follows: </w:t>
      </w:r>
    </w:p>
    <w:p w14:paraId="48EE8C7C" w14:textId="3C44C4AC" w:rsidR="00FB48B1" w:rsidRPr="00123F7E" w:rsidRDefault="0032087F" w:rsidP="0032087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23F7E">
        <w:rPr>
          <w:rFonts w:ascii="Arial" w:hAnsi="Arial" w:cs="Arial"/>
          <w:color w:val="010000"/>
          <w:sz w:val="20"/>
        </w:rPr>
        <w:t xml:space="preserve">Implement the information disclosure obligations of listed organizations according to the regulations in Circular No. 96/2020/TT-BTC dated November 16, 2024 of the Ministry of Finance guiding the disclosure of information on the stock market, Dong </w:t>
      </w:r>
      <w:proofErr w:type="spellStart"/>
      <w:r w:rsidRPr="00123F7E">
        <w:rPr>
          <w:rFonts w:ascii="Arial" w:hAnsi="Arial" w:cs="Arial"/>
          <w:color w:val="010000"/>
          <w:sz w:val="20"/>
        </w:rPr>
        <w:t>Nai</w:t>
      </w:r>
      <w:proofErr w:type="spellEnd"/>
      <w:r w:rsidRPr="00123F7E">
        <w:rPr>
          <w:rFonts w:ascii="Arial" w:hAnsi="Arial" w:cs="Arial"/>
          <w:color w:val="010000"/>
          <w:sz w:val="20"/>
        </w:rPr>
        <w:t xml:space="preserve"> Roof Sheet &amp; Construction Joint Stock Company would like to explain the difference in business results in 2023 compared to </w:t>
      </w:r>
      <w:r w:rsidR="00123F7E" w:rsidRPr="00123F7E">
        <w:rPr>
          <w:rFonts w:ascii="Arial" w:hAnsi="Arial" w:cs="Arial"/>
          <w:color w:val="010000"/>
          <w:sz w:val="20"/>
        </w:rPr>
        <w:t>that</w:t>
      </w:r>
      <w:r w:rsidRPr="00123F7E">
        <w:rPr>
          <w:rFonts w:ascii="Arial" w:hAnsi="Arial" w:cs="Arial"/>
          <w:color w:val="010000"/>
          <w:sz w:val="20"/>
        </w:rPr>
        <w:t xml:space="preserve"> in 2022 as follows:</w:t>
      </w:r>
    </w:p>
    <w:p w14:paraId="02904917" w14:textId="72748D09" w:rsidR="00FB48B1" w:rsidRPr="00123F7E" w:rsidRDefault="0032087F" w:rsidP="0032087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23F7E">
        <w:rPr>
          <w:rFonts w:ascii="Arial" w:hAnsi="Arial" w:cs="Arial"/>
          <w:color w:val="010000"/>
          <w:sz w:val="20"/>
        </w:rPr>
        <w:t>Unit</w:t>
      </w:r>
      <w:r w:rsidR="00123F7E" w:rsidRPr="00123F7E">
        <w:rPr>
          <w:rFonts w:ascii="Arial" w:hAnsi="Arial" w:cs="Arial"/>
          <w:color w:val="010000"/>
          <w:sz w:val="20"/>
        </w:rPr>
        <w:t>:</w:t>
      </w:r>
      <w:r w:rsidRPr="00123F7E">
        <w:rPr>
          <w:rFonts w:ascii="Arial" w:hAnsi="Arial" w:cs="Arial"/>
          <w:color w:val="010000"/>
          <w:sz w:val="20"/>
        </w:rPr>
        <w:t xml:space="preserve"> VND</w:t>
      </w:r>
    </w:p>
    <w:tbl>
      <w:tblPr>
        <w:tblStyle w:val="a"/>
        <w:tblW w:w="5000" w:type="pct"/>
        <w:tblLook w:val="0400" w:firstRow="0" w:lastRow="0" w:firstColumn="0" w:lastColumn="0" w:noHBand="0" w:noVBand="1"/>
      </w:tblPr>
      <w:tblGrid>
        <w:gridCol w:w="2065"/>
        <w:gridCol w:w="1890"/>
        <w:gridCol w:w="1619"/>
        <w:gridCol w:w="1802"/>
        <w:gridCol w:w="902"/>
        <w:gridCol w:w="739"/>
      </w:tblGrid>
      <w:tr w:rsidR="00FB48B1" w:rsidRPr="00123F7E" w14:paraId="5F43F2F4" w14:textId="77777777" w:rsidTr="00E80D1B">
        <w:tc>
          <w:tcPr>
            <w:tcW w:w="1145" w:type="pct"/>
            <w:vMerge w:val="restart"/>
            <w:tcBorders>
              <w:top w:val="single" w:sz="4" w:space="0" w:color="000000"/>
              <w:left w:val="single" w:sz="4" w:space="0" w:color="000000"/>
            </w:tcBorders>
            <w:shd w:val="clear" w:color="auto" w:fill="auto"/>
            <w:tcMar>
              <w:top w:w="0" w:type="dxa"/>
              <w:bottom w:w="0" w:type="dxa"/>
            </w:tcMar>
            <w:vAlign w:val="center"/>
          </w:tcPr>
          <w:p w14:paraId="7450BB3D"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Targets</w:t>
            </w:r>
          </w:p>
        </w:tc>
        <w:tc>
          <w:tcPr>
            <w:tcW w:w="1048" w:type="pct"/>
            <w:vMerge w:val="restart"/>
            <w:tcBorders>
              <w:top w:val="single" w:sz="4" w:space="0" w:color="000000"/>
              <w:left w:val="single" w:sz="4" w:space="0" w:color="000000"/>
            </w:tcBorders>
            <w:shd w:val="clear" w:color="auto" w:fill="auto"/>
            <w:tcMar>
              <w:top w:w="0" w:type="dxa"/>
              <w:bottom w:w="0" w:type="dxa"/>
            </w:tcMar>
            <w:vAlign w:val="center"/>
          </w:tcPr>
          <w:p w14:paraId="582C02BB"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2023</w:t>
            </w:r>
          </w:p>
        </w:tc>
        <w:tc>
          <w:tcPr>
            <w:tcW w:w="898" w:type="pct"/>
            <w:vMerge w:val="restart"/>
            <w:tcBorders>
              <w:top w:val="single" w:sz="4" w:space="0" w:color="000000"/>
              <w:left w:val="single" w:sz="4" w:space="0" w:color="000000"/>
            </w:tcBorders>
            <w:shd w:val="clear" w:color="auto" w:fill="auto"/>
            <w:tcMar>
              <w:top w:w="0" w:type="dxa"/>
              <w:bottom w:w="0" w:type="dxa"/>
            </w:tcMar>
            <w:vAlign w:val="center"/>
          </w:tcPr>
          <w:p w14:paraId="2B719C2C"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2022</w:t>
            </w:r>
          </w:p>
        </w:tc>
        <w:tc>
          <w:tcPr>
            <w:tcW w:w="1499" w:type="pct"/>
            <w:gridSpan w:val="2"/>
            <w:tcBorders>
              <w:top w:val="single" w:sz="4" w:space="0" w:color="000000"/>
              <w:left w:val="single" w:sz="4" w:space="0" w:color="000000"/>
            </w:tcBorders>
            <w:shd w:val="clear" w:color="auto" w:fill="auto"/>
            <w:tcMar>
              <w:top w:w="0" w:type="dxa"/>
              <w:bottom w:w="0" w:type="dxa"/>
            </w:tcMar>
            <w:vAlign w:val="center"/>
          </w:tcPr>
          <w:p w14:paraId="40810E77"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Difference</w:t>
            </w:r>
          </w:p>
        </w:tc>
        <w:tc>
          <w:tcPr>
            <w:tcW w:w="410" w:type="pct"/>
            <w:vMerge w:val="restart"/>
            <w:tcBorders>
              <w:top w:val="single" w:sz="4" w:space="0" w:color="000000"/>
              <w:left w:val="single" w:sz="4" w:space="0" w:color="000000"/>
              <w:right w:val="single" w:sz="4" w:space="0" w:color="000000"/>
            </w:tcBorders>
            <w:shd w:val="clear" w:color="auto" w:fill="auto"/>
            <w:tcMar>
              <w:top w:w="0" w:type="dxa"/>
              <w:bottom w:w="0" w:type="dxa"/>
            </w:tcMar>
            <w:vAlign w:val="center"/>
          </w:tcPr>
          <w:p w14:paraId="3214B3D6"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Note</w:t>
            </w:r>
          </w:p>
        </w:tc>
      </w:tr>
      <w:tr w:rsidR="00FB48B1" w:rsidRPr="00123F7E" w14:paraId="41304F1D" w14:textId="77777777" w:rsidTr="00E80D1B">
        <w:trPr>
          <w:trHeight w:val="260"/>
        </w:trPr>
        <w:tc>
          <w:tcPr>
            <w:tcW w:w="1145" w:type="pct"/>
            <w:vMerge/>
            <w:tcBorders>
              <w:top w:val="single" w:sz="4" w:space="0" w:color="000000"/>
              <w:left w:val="single" w:sz="4" w:space="0" w:color="000000"/>
            </w:tcBorders>
            <w:shd w:val="clear" w:color="auto" w:fill="auto"/>
            <w:tcMar>
              <w:top w:w="0" w:type="dxa"/>
              <w:bottom w:w="0" w:type="dxa"/>
            </w:tcMar>
            <w:vAlign w:val="center"/>
          </w:tcPr>
          <w:p w14:paraId="4CCC6F27" w14:textId="77777777" w:rsidR="00FB48B1" w:rsidRPr="00123F7E" w:rsidRDefault="00FB48B1" w:rsidP="00E80D1B">
            <w:pPr>
              <w:pBdr>
                <w:top w:val="nil"/>
                <w:left w:val="nil"/>
                <w:bottom w:val="nil"/>
                <w:right w:val="nil"/>
                <w:between w:val="nil"/>
              </w:pBdr>
              <w:spacing w:line="360" w:lineRule="auto"/>
              <w:rPr>
                <w:rFonts w:ascii="Arial" w:eastAsia="Arial" w:hAnsi="Arial" w:cs="Arial"/>
                <w:color w:val="010000"/>
                <w:sz w:val="20"/>
                <w:szCs w:val="20"/>
              </w:rPr>
            </w:pPr>
          </w:p>
        </w:tc>
        <w:tc>
          <w:tcPr>
            <w:tcW w:w="1048" w:type="pct"/>
            <w:vMerge/>
            <w:tcBorders>
              <w:top w:val="single" w:sz="4" w:space="0" w:color="000000"/>
              <w:left w:val="single" w:sz="4" w:space="0" w:color="000000"/>
            </w:tcBorders>
            <w:shd w:val="clear" w:color="auto" w:fill="auto"/>
            <w:tcMar>
              <w:top w:w="0" w:type="dxa"/>
              <w:bottom w:w="0" w:type="dxa"/>
            </w:tcMar>
            <w:vAlign w:val="center"/>
          </w:tcPr>
          <w:p w14:paraId="59D11650" w14:textId="77777777" w:rsidR="00FB48B1" w:rsidRPr="00123F7E" w:rsidRDefault="00FB48B1" w:rsidP="00E80D1B">
            <w:pPr>
              <w:pBdr>
                <w:top w:val="nil"/>
                <w:left w:val="nil"/>
                <w:bottom w:val="nil"/>
                <w:right w:val="nil"/>
                <w:between w:val="nil"/>
              </w:pBdr>
              <w:spacing w:line="360" w:lineRule="auto"/>
              <w:rPr>
                <w:rFonts w:ascii="Arial" w:eastAsia="Arial" w:hAnsi="Arial" w:cs="Arial"/>
                <w:color w:val="010000"/>
                <w:sz w:val="20"/>
                <w:szCs w:val="20"/>
              </w:rPr>
            </w:pPr>
          </w:p>
        </w:tc>
        <w:tc>
          <w:tcPr>
            <w:tcW w:w="898" w:type="pct"/>
            <w:vMerge/>
            <w:tcBorders>
              <w:top w:val="single" w:sz="4" w:space="0" w:color="000000"/>
              <w:left w:val="single" w:sz="4" w:space="0" w:color="000000"/>
            </w:tcBorders>
            <w:shd w:val="clear" w:color="auto" w:fill="auto"/>
            <w:tcMar>
              <w:top w:w="0" w:type="dxa"/>
              <w:bottom w:w="0" w:type="dxa"/>
            </w:tcMar>
            <w:vAlign w:val="center"/>
          </w:tcPr>
          <w:p w14:paraId="4551F186" w14:textId="77777777" w:rsidR="00FB48B1" w:rsidRPr="00123F7E" w:rsidRDefault="00FB48B1" w:rsidP="00E80D1B">
            <w:pPr>
              <w:pBdr>
                <w:top w:val="nil"/>
                <w:left w:val="nil"/>
                <w:bottom w:val="nil"/>
                <w:right w:val="nil"/>
                <w:between w:val="nil"/>
              </w:pBdr>
              <w:spacing w:line="360" w:lineRule="auto"/>
              <w:rPr>
                <w:rFonts w:ascii="Arial" w:eastAsia="Arial" w:hAnsi="Arial" w:cs="Arial"/>
                <w:color w:val="010000"/>
                <w:sz w:val="20"/>
                <w:szCs w:val="20"/>
              </w:rPr>
            </w:pPr>
          </w:p>
        </w:tc>
        <w:tc>
          <w:tcPr>
            <w:tcW w:w="999" w:type="pct"/>
            <w:tcBorders>
              <w:top w:val="single" w:sz="4" w:space="0" w:color="000000"/>
              <w:left w:val="single" w:sz="4" w:space="0" w:color="000000"/>
            </w:tcBorders>
            <w:shd w:val="clear" w:color="auto" w:fill="auto"/>
            <w:tcMar>
              <w:top w:w="0" w:type="dxa"/>
              <w:bottom w:w="0" w:type="dxa"/>
            </w:tcMar>
            <w:vAlign w:val="center"/>
          </w:tcPr>
          <w:p w14:paraId="73AB822F"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Value</w:t>
            </w:r>
          </w:p>
        </w:tc>
        <w:tc>
          <w:tcPr>
            <w:tcW w:w="500" w:type="pct"/>
            <w:tcBorders>
              <w:top w:val="single" w:sz="4" w:space="0" w:color="000000"/>
              <w:left w:val="single" w:sz="4" w:space="0" w:color="000000"/>
            </w:tcBorders>
            <w:shd w:val="clear" w:color="auto" w:fill="auto"/>
            <w:tcMar>
              <w:top w:w="0" w:type="dxa"/>
              <w:bottom w:w="0" w:type="dxa"/>
            </w:tcMar>
            <w:vAlign w:val="center"/>
          </w:tcPr>
          <w:p w14:paraId="15AE437B"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w:t>
            </w:r>
          </w:p>
        </w:tc>
        <w:tc>
          <w:tcPr>
            <w:tcW w:w="410" w:type="pct"/>
            <w:vMerge/>
            <w:tcBorders>
              <w:top w:val="single" w:sz="4" w:space="0" w:color="000000"/>
              <w:left w:val="single" w:sz="4" w:space="0" w:color="000000"/>
              <w:right w:val="single" w:sz="4" w:space="0" w:color="000000"/>
            </w:tcBorders>
            <w:shd w:val="clear" w:color="auto" w:fill="auto"/>
            <w:tcMar>
              <w:top w:w="0" w:type="dxa"/>
              <w:bottom w:w="0" w:type="dxa"/>
            </w:tcMar>
            <w:vAlign w:val="center"/>
          </w:tcPr>
          <w:p w14:paraId="595F89A4" w14:textId="77777777" w:rsidR="00FB48B1" w:rsidRPr="00123F7E" w:rsidRDefault="00FB48B1" w:rsidP="00E80D1B">
            <w:pPr>
              <w:pBdr>
                <w:top w:val="nil"/>
                <w:left w:val="nil"/>
                <w:bottom w:val="nil"/>
                <w:right w:val="nil"/>
                <w:between w:val="nil"/>
              </w:pBdr>
              <w:spacing w:line="360" w:lineRule="auto"/>
              <w:rPr>
                <w:rFonts w:ascii="Arial" w:eastAsia="Arial" w:hAnsi="Arial" w:cs="Arial"/>
                <w:color w:val="010000"/>
                <w:sz w:val="20"/>
                <w:szCs w:val="20"/>
              </w:rPr>
            </w:pPr>
          </w:p>
        </w:tc>
      </w:tr>
      <w:tr w:rsidR="00FB48B1" w:rsidRPr="00123F7E" w14:paraId="37670ABC" w14:textId="77777777" w:rsidTr="00E80D1B">
        <w:tc>
          <w:tcPr>
            <w:tcW w:w="1145" w:type="pct"/>
            <w:tcBorders>
              <w:top w:val="single" w:sz="4" w:space="0" w:color="000000"/>
              <w:left w:val="single" w:sz="4" w:space="0" w:color="000000"/>
            </w:tcBorders>
            <w:shd w:val="clear" w:color="auto" w:fill="auto"/>
            <w:tcMar>
              <w:top w:w="0" w:type="dxa"/>
              <w:bottom w:w="0" w:type="dxa"/>
            </w:tcMar>
            <w:vAlign w:val="center"/>
          </w:tcPr>
          <w:p w14:paraId="7557F302"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Net revenue from goods sales and service provision</w:t>
            </w:r>
          </w:p>
        </w:tc>
        <w:tc>
          <w:tcPr>
            <w:tcW w:w="1048" w:type="pct"/>
            <w:tcBorders>
              <w:top w:val="single" w:sz="4" w:space="0" w:color="000000"/>
              <w:left w:val="single" w:sz="4" w:space="0" w:color="000000"/>
            </w:tcBorders>
            <w:shd w:val="clear" w:color="auto" w:fill="auto"/>
            <w:tcMar>
              <w:top w:w="0" w:type="dxa"/>
              <w:bottom w:w="0" w:type="dxa"/>
            </w:tcMar>
            <w:vAlign w:val="center"/>
          </w:tcPr>
          <w:p w14:paraId="4A128E02"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109,026,313,578</w:t>
            </w:r>
          </w:p>
        </w:tc>
        <w:tc>
          <w:tcPr>
            <w:tcW w:w="898" w:type="pct"/>
            <w:tcBorders>
              <w:top w:val="single" w:sz="4" w:space="0" w:color="000000"/>
              <w:left w:val="single" w:sz="4" w:space="0" w:color="000000"/>
            </w:tcBorders>
            <w:shd w:val="clear" w:color="auto" w:fill="auto"/>
            <w:tcMar>
              <w:top w:w="0" w:type="dxa"/>
              <w:bottom w:w="0" w:type="dxa"/>
            </w:tcMar>
            <w:vAlign w:val="center"/>
          </w:tcPr>
          <w:p w14:paraId="44DECD59"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191,701,531,230</w:t>
            </w:r>
          </w:p>
        </w:tc>
        <w:tc>
          <w:tcPr>
            <w:tcW w:w="999" w:type="pct"/>
            <w:tcBorders>
              <w:top w:val="single" w:sz="4" w:space="0" w:color="000000"/>
              <w:left w:val="single" w:sz="4" w:space="0" w:color="000000"/>
            </w:tcBorders>
            <w:shd w:val="clear" w:color="auto" w:fill="auto"/>
            <w:tcMar>
              <w:top w:w="0" w:type="dxa"/>
              <w:bottom w:w="0" w:type="dxa"/>
            </w:tcMar>
            <w:vAlign w:val="center"/>
          </w:tcPr>
          <w:p w14:paraId="3278BB61"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(82,675,217,652)</w:t>
            </w:r>
          </w:p>
        </w:tc>
        <w:tc>
          <w:tcPr>
            <w:tcW w:w="500" w:type="pct"/>
            <w:tcBorders>
              <w:top w:val="single" w:sz="4" w:space="0" w:color="000000"/>
              <w:left w:val="single" w:sz="4" w:space="0" w:color="000000"/>
            </w:tcBorders>
            <w:shd w:val="clear" w:color="auto" w:fill="auto"/>
            <w:tcMar>
              <w:top w:w="0" w:type="dxa"/>
              <w:bottom w:w="0" w:type="dxa"/>
            </w:tcMar>
            <w:vAlign w:val="center"/>
          </w:tcPr>
          <w:p w14:paraId="5CB94F3B"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43%</w:t>
            </w:r>
          </w:p>
        </w:tc>
        <w:tc>
          <w:tcPr>
            <w:tcW w:w="41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4C215FDA" w14:textId="77777777" w:rsidR="00FB48B1" w:rsidRPr="00123F7E" w:rsidRDefault="00FB48B1" w:rsidP="00E80D1B">
            <w:pPr>
              <w:tabs>
                <w:tab w:val="left" w:pos="432"/>
              </w:tabs>
              <w:spacing w:line="360" w:lineRule="auto"/>
              <w:jc w:val="center"/>
              <w:rPr>
                <w:rFonts w:ascii="Arial" w:eastAsia="Arial" w:hAnsi="Arial" w:cs="Arial"/>
                <w:color w:val="010000"/>
                <w:sz w:val="20"/>
                <w:szCs w:val="20"/>
              </w:rPr>
            </w:pPr>
          </w:p>
        </w:tc>
      </w:tr>
      <w:tr w:rsidR="00FB48B1" w:rsidRPr="00123F7E" w14:paraId="22D95845" w14:textId="77777777" w:rsidTr="00E80D1B">
        <w:tc>
          <w:tcPr>
            <w:tcW w:w="1145" w:type="pct"/>
            <w:tcBorders>
              <w:top w:val="single" w:sz="4" w:space="0" w:color="000000"/>
              <w:left w:val="single" w:sz="4" w:space="0" w:color="000000"/>
            </w:tcBorders>
            <w:shd w:val="clear" w:color="auto" w:fill="auto"/>
            <w:tcMar>
              <w:top w:w="0" w:type="dxa"/>
              <w:bottom w:w="0" w:type="dxa"/>
            </w:tcMar>
            <w:vAlign w:val="center"/>
          </w:tcPr>
          <w:p w14:paraId="07138E4A"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Accounting profit before tax</w:t>
            </w:r>
          </w:p>
        </w:tc>
        <w:tc>
          <w:tcPr>
            <w:tcW w:w="1048" w:type="pct"/>
            <w:tcBorders>
              <w:top w:val="single" w:sz="4" w:space="0" w:color="000000"/>
              <w:left w:val="single" w:sz="4" w:space="0" w:color="000000"/>
            </w:tcBorders>
            <w:shd w:val="clear" w:color="auto" w:fill="auto"/>
            <w:tcMar>
              <w:top w:w="0" w:type="dxa"/>
              <w:bottom w:w="0" w:type="dxa"/>
            </w:tcMar>
            <w:vAlign w:val="center"/>
          </w:tcPr>
          <w:p w14:paraId="14466502"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(98,932,578,626)</w:t>
            </w:r>
          </w:p>
        </w:tc>
        <w:tc>
          <w:tcPr>
            <w:tcW w:w="898" w:type="pct"/>
            <w:tcBorders>
              <w:top w:val="single" w:sz="4" w:space="0" w:color="000000"/>
              <w:left w:val="single" w:sz="4" w:space="0" w:color="000000"/>
            </w:tcBorders>
            <w:shd w:val="clear" w:color="auto" w:fill="auto"/>
            <w:tcMar>
              <w:top w:w="0" w:type="dxa"/>
              <w:bottom w:w="0" w:type="dxa"/>
            </w:tcMar>
            <w:vAlign w:val="center"/>
          </w:tcPr>
          <w:p w14:paraId="6B9DB313"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(77,594,491,254)</w:t>
            </w:r>
          </w:p>
        </w:tc>
        <w:tc>
          <w:tcPr>
            <w:tcW w:w="999" w:type="pct"/>
            <w:tcBorders>
              <w:top w:val="single" w:sz="4" w:space="0" w:color="000000"/>
              <w:left w:val="single" w:sz="4" w:space="0" w:color="000000"/>
            </w:tcBorders>
            <w:shd w:val="clear" w:color="auto" w:fill="auto"/>
            <w:tcMar>
              <w:top w:w="0" w:type="dxa"/>
              <w:bottom w:w="0" w:type="dxa"/>
            </w:tcMar>
            <w:vAlign w:val="center"/>
          </w:tcPr>
          <w:p w14:paraId="1BEBC655"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(21,338,087,372)</w:t>
            </w:r>
          </w:p>
        </w:tc>
        <w:tc>
          <w:tcPr>
            <w:tcW w:w="500" w:type="pct"/>
            <w:tcBorders>
              <w:top w:val="single" w:sz="4" w:space="0" w:color="000000"/>
              <w:left w:val="single" w:sz="4" w:space="0" w:color="000000"/>
            </w:tcBorders>
            <w:shd w:val="clear" w:color="auto" w:fill="auto"/>
            <w:tcMar>
              <w:top w:w="0" w:type="dxa"/>
              <w:bottom w:w="0" w:type="dxa"/>
            </w:tcMar>
            <w:vAlign w:val="center"/>
          </w:tcPr>
          <w:p w14:paraId="3F246A0B"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27.5%</w:t>
            </w:r>
          </w:p>
        </w:tc>
        <w:tc>
          <w:tcPr>
            <w:tcW w:w="410" w:type="pct"/>
            <w:tcBorders>
              <w:top w:val="single" w:sz="4" w:space="0" w:color="000000"/>
              <w:left w:val="single" w:sz="4" w:space="0" w:color="000000"/>
              <w:right w:val="single" w:sz="4" w:space="0" w:color="000000"/>
            </w:tcBorders>
            <w:shd w:val="clear" w:color="auto" w:fill="auto"/>
            <w:tcMar>
              <w:top w:w="0" w:type="dxa"/>
              <w:bottom w:w="0" w:type="dxa"/>
            </w:tcMar>
            <w:vAlign w:val="center"/>
          </w:tcPr>
          <w:p w14:paraId="7305068E" w14:textId="77777777" w:rsidR="00FB48B1" w:rsidRPr="00123F7E" w:rsidRDefault="00FB48B1" w:rsidP="00E80D1B">
            <w:pPr>
              <w:tabs>
                <w:tab w:val="left" w:pos="432"/>
              </w:tabs>
              <w:spacing w:line="360" w:lineRule="auto"/>
              <w:jc w:val="center"/>
              <w:rPr>
                <w:rFonts w:ascii="Arial" w:eastAsia="Arial" w:hAnsi="Arial" w:cs="Arial"/>
                <w:color w:val="010000"/>
                <w:sz w:val="20"/>
                <w:szCs w:val="20"/>
              </w:rPr>
            </w:pPr>
          </w:p>
        </w:tc>
      </w:tr>
      <w:tr w:rsidR="00FB48B1" w:rsidRPr="00123F7E" w14:paraId="0517A94D" w14:textId="77777777" w:rsidTr="00E80D1B">
        <w:tc>
          <w:tcPr>
            <w:tcW w:w="1145"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071C0B16" w14:textId="77777777" w:rsidR="00FB48B1" w:rsidRPr="00123F7E" w:rsidRDefault="0032087F" w:rsidP="00E80D1B">
            <w:pPr>
              <w:pBdr>
                <w:top w:val="nil"/>
                <w:left w:val="nil"/>
                <w:bottom w:val="nil"/>
                <w:right w:val="nil"/>
                <w:between w:val="nil"/>
              </w:pBdr>
              <w:tabs>
                <w:tab w:val="left" w:pos="432"/>
              </w:tabs>
              <w:spacing w:line="360" w:lineRule="auto"/>
              <w:rPr>
                <w:rFonts w:ascii="Arial" w:eastAsia="Arial" w:hAnsi="Arial" w:cs="Arial"/>
                <w:color w:val="010000"/>
                <w:sz w:val="20"/>
                <w:szCs w:val="20"/>
              </w:rPr>
            </w:pPr>
            <w:r w:rsidRPr="00123F7E">
              <w:rPr>
                <w:rFonts w:ascii="Arial" w:hAnsi="Arial" w:cs="Arial"/>
                <w:color w:val="010000"/>
                <w:sz w:val="20"/>
              </w:rPr>
              <w:t>Profit after tax</w:t>
            </w:r>
          </w:p>
        </w:tc>
        <w:tc>
          <w:tcPr>
            <w:tcW w:w="104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9E2116C"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(98,932,578,626)</w:t>
            </w:r>
          </w:p>
        </w:tc>
        <w:tc>
          <w:tcPr>
            <w:tcW w:w="898"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50C3528C"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(77,594,491,254)</w:t>
            </w:r>
          </w:p>
        </w:tc>
        <w:tc>
          <w:tcPr>
            <w:tcW w:w="999"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7042976D"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(21,338,087,372)</w:t>
            </w:r>
          </w:p>
        </w:tc>
        <w:tc>
          <w:tcPr>
            <w:tcW w:w="500" w:type="pct"/>
            <w:tcBorders>
              <w:top w:val="single" w:sz="4" w:space="0" w:color="000000"/>
              <w:left w:val="single" w:sz="4" w:space="0" w:color="000000"/>
              <w:bottom w:val="single" w:sz="4" w:space="0" w:color="000000"/>
            </w:tcBorders>
            <w:shd w:val="clear" w:color="auto" w:fill="auto"/>
            <w:tcMar>
              <w:top w:w="0" w:type="dxa"/>
              <w:bottom w:w="0" w:type="dxa"/>
            </w:tcMar>
            <w:vAlign w:val="center"/>
          </w:tcPr>
          <w:p w14:paraId="45B8373E" w14:textId="77777777" w:rsidR="00FB48B1" w:rsidRPr="00123F7E" w:rsidRDefault="0032087F" w:rsidP="00E80D1B">
            <w:pPr>
              <w:pBdr>
                <w:top w:val="nil"/>
                <w:left w:val="nil"/>
                <w:bottom w:val="nil"/>
                <w:right w:val="nil"/>
                <w:between w:val="nil"/>
              </w:pBdr>
              <w:tabs>
                <w:tab w:val="left" w:pos="432"/>
              </w:tabs>
              <w:spacing w:line="360" w:lineRule="auto"/>
              <w:jc w:val="center"/>
              <w:rPr>
                <w:rFonts w:ascii="Arial" w:eastAsia="Arial" w:hAnsi="Arial" w:cs="Arial"/>
                <w:color w:val="010000"/>
                <w:sz w:val="20"/>
                <w:szCs w:val="20"/>
              </w:rPr>
            </w:pPr>
            <w:r w:rsidRPr="00123F7E">
              <w:rPr>
                <w:rFonts w:ascii="Arial" w:hAnsi="Arial" w:cs="Arial"/>
                <w:color w:val="010000"/>
                <w:sz w:val="20"/>
              </w:rPr>
              <w:t>27.5%</w:t>
            </w:r>
          </w:p>
        </w:tc>
        <w:tc>
          <w:tcPr>
            <w:tcW w:w="410" w:type="pct"/>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472C2F19" w14:textId="77777777" w:rsidR="00FB48B1" w:rsidRPr="00123F7E" w:rsidRDefault="00FB48B1" w:rsidP="00E80D1B">
            <w:pPr>
              <w:tabs>
                <w:tab w:val="left" w:pos="432"/>
              </w:tabs>
              <w:spacing w:line="360" w:lineRule="auto"/>
              <w:jc w:val="center"/>
              <w:rPr>
                <w:rFonts w:ascii="Arial" w:eastAsia="Arial" w:hAnsi="Arial" w:cs="Arial"/>
                <w:color w:val="010000"/>
                <w:sz w:val="20"/>
                <w:szCs w:val="20"/>
              </w:rPr>
            </w:pPr>
          </w:p>
        </w:tc>
      </w:tr>
    </w:tbl>
    <w:p w14:paraId="77C6B2EE" w14:textId="1C1BE621" w:rsidR="00FB48B1" w:rsidRPr="00123F7E" w:rsidRDefault="0032087F" w:rsidP="0032087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23F7E">
        <w:rPr>
          <w:rFonts w:ascii="Arial" w:hAnsi="Arial" w:cs="Arial"/>
          <w:color w:val="010000"/>
          <w:sz w:val="20"/>
        </w:rPr>
        <w:t xml:space="preserve">Profit after tax on the Financial Statements 2023 of the Company lost VND 98,932,578,626, </w:t>
      </w:r>
      <w:r w:rsidR="00123F7E" w:rsidRPr="00123F7E">
        <w:rPr>
          <w:rFonts w:ascii="Arial" w:hAnsi="Arial" w:cs="Arial"/>
          <w:color w:val="010000"/>
          <w:sz w:val="20"/>
        </w:rPr>
        <w:t xml:space="preserve">an </w:t>
      </w:r>
      <w:r w:rsidRPr="00123F7E">
        <w:rPr>
          <w:rFonts w:ascii="Arial" w:hAnsi="Arial" w:cs="Arial"/>
          <w:color w:val="010000"/>
          <w:sz w:val="20"/>
        </w:rPr>
        <w:t xml:space="preserve">increase </w:t>
      </w:r>
      <w:r w:rsidR="00123F7E" w:rsidRPr="00123F7E">
        <w:rPr>
          <w:rFonts w:ascii="Arial" w:hAnsi="Arial" w:cs="Arial"/>
          <w:color w:val="010000"/>
          <w:sz w:val="20"/>
        </w:rPr>
        <w:t>of</w:t>
      </w:r>
      <w:r w:rsidRPr="00123F7E">
        <w:rPr>
          <w:rFonts w:ascii="Arial" w:hAnsi="Arial" w:cs="Arial"/>
          <w:color w:val="010000"/>
          <w:sz w:val="20"/>
        </w:rPr>
        <w:t xml:space="preserve"> 27.5% compared to </w:t>
      </w:r>
      <w:r w:rsidR="00123F7E" w:rsidRPr="00123F7E">
        <w:rPr>
          <w:rFonts w:ascii="Arial" w:hAnsi="Arial" w:cs="Arial"/>
          <w:color w:val="010000"/>
          <w:sz w:val="20"/>
        </w:rPr>
        <w:t>that</w:t>
      </w:r>
      <w:r w:rsidRPr="00123F7E">
        <w:rPr>
          <w:rFonts w:ascii="Arial" w:hAnsi="Arial" w:cs="Arial"/>
          <w:color w:val="010000"/>
          <w:sz w:val="20"/>
        </w:rPr>
        <w:t xml:space="preserve"> in the same period in 2022 due to the following reasons:</w:t>
      </w:r>
    </w:p>
    <w:p w14:paraId="1CCB4B00" w14:textId="3C532CA9" w:rsidR="00FB48B1" w:rsidRPr="00123F7E" w:rsidRDefault="0032087F" w:rsidP="0032087F">
      <w:pPr>
        <w:numPr>
          <w:ilvl w:val="0"/>
          <w:numId w:val="1"/>
        </w:numPr>
        <w:pBdr>
          <w:top w:val="nil"/>
          <w:left w:val="nil"/>
          <w:bottom w:val="nil"/>
          <w:right w:val="nil"/>
          <w:between w:val="nil"/>
        </w:pBdr>
        <w:tabs>
          <w:tab w:val="left" w:pos="432"/>
          <w:tab w:val="left" w:pos="1219"/>
        </w:tabs>
        <w:spacing w:after="120" w:line="360" w:lineRule="auto"/>
        <w:rPr>
          <w:rFonts w:ascii="Arial" w:eastAsia="Arial" w:hAnsi="Arial" w:cs="Arial"/>
          <w:color w:val="010000"/>
          <w:sz w:val="20"/>
          <w:szCs w:val="20"/>
        </w:rPr>
      </w:pPr>
      <w:r w:rsidRPr="00123F7E">
        <w:rPr>
          <w:rFonts w:ascii="Arial" w:hAnsi="Arial" w:cs="Arial"/>
          <w:color w:val="010000"/>
          <w:sz w:val="20"/>
        </w:rPr>
        <w:t xml:space="preserve">Net revenue from sales and service provision in 2023 decreased </w:t>
      </w:r>
      <w:r w:rsidR="00123F7E" w:rsidRPr="00123F7E">
        <w:rPr>
          <w:rFonts w:ascii="Arial" w:hAnsi="Arial" w:cs="Arial"/>
          <w:color w:val="010000"/>
          <w:sz w:val="20"/>
        </w:rPr>
        <w:t>by</w:t>
      </w:r>
      <w:r w:rsidRPr="00123F7E">
        <w:rPr>
          <w:rFonts w:ascii="Arial" w:hAnsi="Arial" w:cs="Arial"/>
          <w:color w:val="010000"/>
          <w:sz w:val="20"/>
        </w:rPr>
        <w:t xml:space="preserve"> VND 82,675,217,652 due to the economic recession and stagnant real estate market, affecting the construction materials industry. Therefor</w:t>
      </w:r>
      <w:r w:rsidR="00E80D1B">
        <w:rPr>
          <w:rFonts w:ascii="Arial" w:hAnsi="Arial" w:cs="Arial"/>
          <w:color w:val="010000"/>
          <w:sz w:val="20"/>
        </w:rPr>
        <w:t>e</w:t>
      </w:r>
      <w:r w:rsidRPr="00123F7E">
        <w:rPr>
          <w:rFonts w:ascii="Arial" w:hAnsi="Arial" w:cs="Arial"/>
          <w:color w:val="010000"/>
          <w:sz w:val="20"/>
        </w:rPr>
        <w:t xml:space="preserve">, the revenue in 2023 decreased by 43% compared to </w:t>
      </w:r>
      <w:r w:rsidR="00123F7E" w:rsidRPr="00123F7E">
        <w:rPr>
          <w:rFonts w:ascii="Arial" w:hAnsi="Arial" w:cs="Arial"/>
          <w:color w:val="010000"/>
          <w:sz w:val="20"/>
        </w:rPr>
        <w:t>that</w:t>
      </w:r>
      <w:r w:rsidRPr="00123F7E">
        <w:rPr>
          <w:rFonts w:ascii="Arial" w:hAnsi="Arial" w:cs="Arial"/>
          <w:color w:val="010000"/>
          <w:sz w:val="20"/>
        </w:rPr>
        <w:t xml:space="preserve"> in the same period in 2022.</w:t>
      </w:r>
    </w:p>
    <w:p w14:paraId="3E090043" w14:textId="77777777" w:rsidR="00FB48B1" w:rsidRPr="00123F7E" w:rsidRDefault="0032087F" w:rsidP="0032087F">
      <w:pPr>
        <w:numPr>
          <w:ilvl w:val="0"/>
          <w:numId w:val="1"/>
        </w:numPr>
        <w:pBdr>
          <w:top w:val="nil"/>
          <w:left w:val="nil"/>
          <w:bottom w:val="nil"/>
          <w:right w:val="nil"/>
          <w:between w:val="nil"/>
        </w:pBdr>
        <w:tabs>
          <w:tab w:val="left" w:pos="432"/>
          <w:tab w:val="left" w:pos="1219"/>
        </w:tabs>
        <w:spacing w:after="120" w:line="360" w:lineRule="auto"/>
        <w:rPr>
          <w:rFonts w:ascii="Arial" w:eastAsia="Arial" w:hAnsi="Arial" w:cs="Arial"/>
          <w:color w:val="010000"/>
          <w:sz w:val="20"/>
          <w:szCs w:val="20"/>
        </w:rPr>
      </w:pPr>
      <w:r w:rsidRPr="00123F7E">
        <w:rPr>
          <w:rFonts w:ascii="Arial" w:hAnsi="Arial" w:cs="Arial"/>
          <w:color w:val="010000"/>
          <w:sz w:val="20"/>
        </w:rPr>
        <w:t xml:space="preserve">Loan interest expenses arose in 2023 due to the bank increasing its interest rate from 10.5%/year to 12.5%/year. In addition, the market has just recovered from </w:t>
      </w:r>
      <w:proofErr w:type="spellStart"/>
      <w:r w:rsidRPr="00123F7E">
        <w:rPr>
          <w:rFonts w:ascii="Arial" w:hAnsi="Arial" w:cs="Arial"/>
          <w:color w:val="010000"/>
          <w:sz w:val="20"/>
        </w:rPr>
        <w:t>Covid</w:t>
      </w:r>
      <w:proofErr w:type="spellEnd"/>
      <w:r w:rsidRPr="00123F7E">
        <w:rPr>
          <w:rFonts w:ascii="Arial" w:hAnsi="Arial" w:cs="Arial"/>
          <w:color w:val="010000"/>
          <w:sz w:val="20"/>
        </w:rPr>
        <w:t>, which affects the sudden increase in raw material price fluctuations. Therefore, business activities incurring losses increase more than those in 2022.</w:t>
      </w:r>
    </w:p>
    <w:p w14:paraId="7A5BEC31" w14:textId="40AEE85F" w:rsidR="00FB48B1" w:rsidRPr="00123F7E" w:rsidRDefault="0032087F" w:rsidP="0032087F">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123F7E">
        <w:rPr>
          <w:rFonts w:ascii="Arial" w:hAnsi="Arial" w:cs="Arial"/>
          <w:color w:val="010000"/>
          <w:sz w:val="20"/>
        </w:rPr>
        <w:t xml:space="preserve">Dong </w:t>
      </w:r>
      <w:proofErr w:type="spellStart"/>
      <w:r w:rsidRPr="00123F7E">
        <w:rPr>
          <w:rFonts w:ascii="Arial" w:hAnsi="Arial" w:cs="Arial"/>
          <w:color w:val="010000"/>
          <w:sz w:val="20"/>
        </w:rPr>
        <w:t>Nai</w:t>
      </w:r>
      <w:proofErr w:type="spellEnd"/>
      <w:r w:rsidRPr="00123F7E">
        <w:rPr>
          <w:rFonts w:ascii="Arial" w:hAnsi="Arial" w:cs="Arial"/>
          <w:color w:val="010000"/>
          <w:sz w:val="20"/>
        </w:rPr>
        <w:t xml:space="preserve"> Roof Sheet &amp; Construction Joint Stock Company received Official Dispatch No. 885/SGDHN-QLNY dated April 10, 2024 on reminding to disclose information and requesting an explanation showing signs of violation of the regulations on information disclosure of </w:t>
      </w:r>
      <w:r w:rsidR="00123F7E" w:rsidRPr="00123F7E">
        <w:rPr>
          <w:rFonts w:ascii="Arial" w:hAnsi="Arial" w:cs="Arial"/>
          <w:color w:val="010000"/>
          <w:sz w:val="20"/>
        </w:rPr>
        <w:t xml:space="preserve">the Audited </w:t>
      </w:r>
      <w:r w:rsidRPr="00123F7E">
        <w:rPr>
          <w:rFonts w:ascii="Arial" w:hAnsi="Arial" w:cs="Arial"/>
          <w:color w:val="010000"/>
          <w:sz w:val="20"/>
        </w:rPr>
        <w:t>Financial Statements 2023: The Company would like to explain the reason for the delay in disclosing information on explaining the implementation of information disclosure obligations of listed organizations according to the regulations in Circular No. 96/2020/1T-BTC dated November 16, 2024 of the Ministry of Finance guiding the disclosure of information on the stock market is due to the staff disclosing information did not see the attached item on the Financial Statements 2023 when announced like preparing quarterly Financial Statements. Now the Company would like to fix the problem and will disclose information to the Hanoi stock Exchange.</w:t>
      </w:r>
    </w:p>
    <w:sectPr w:rsidR="00FB48B1" w:rsidRPr="00123F7E" w:rsidSect="0032087F">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27FAF"/>
    <w:multiLevelType w:val="multilevel"/>
    <w:tmpl w:val="7C96F86C"/>
    <w:lvl w:ilvl="0">
      <w:start w:val="1"/>
      <w:numFmt w:val="bullet"/>
      <w:lvlText w:val="-"/>
      <w:lvlJc w:val="left"/>
      <w:pPr>
        <w:ind w:left="0" w:firstLine="0"/>
      </w:pPr>
      <w:rPr>
        <w:rFonts w:ascii="Arial" w:eastAsia="Arial" w:hAnsi="Arial" w:cs="Arial"/>
        <w:b w:val="0"/>
        <w:i w:val="0"/>
        <w:smallCaps w:val="0"/>
        <w:strike w:val="0"/>
        <w:color w:val="2F4046"/>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B1"/>
    <w:rsid w:val="00123F7E"/>
    <w:rsid w:val="0032087F"/>
    <w:rsid w:val="00E80D1B"/>
    <w:rsid w:val="00FB48B1"/>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F0611"/>
  <w15:docId w15:val="{271F2EAB-78D4-4DA6-80CA-D98AD8F6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color w:val="2F4046"/>
      <w:sz w:val="22"/>
      <w:szCs w:val="22"/>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bCs/>
      <w:i/>
      <w:iCs/>
      <w:smallCaps w:val="0"/>
      <w:strike w:val="0"/>
      <w:color w:val="2F4046"/>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2F4046"/>
      <w:sz w:val="22"/>
      <w:szCs w:val="22"/>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color w:val="DE8EA3"/>
      <w:w w:val="70"/>
      <w:sz w:val="17"/>
      <w:szCs w:val="17"/>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2F4046"/>
      <w:sz w:val="22"/>
      <w:szCs w:val="22"/>
      <w:u w:val="none"/>
      <w:shd w:val="clear" w:color="auto" w:fill="auto"/>
    </w:rPr>
  </w:style>
  <w:style w:type="character" w:customStyle="1" w:styleId="Bodytext2">
    <w:name w:val="Body text (2)_"/>
    <w:basedOn w:val="DefaultParagraphFont"/>
    <w:link w:val="Bodytext20"/>
    <w:rPr>
      <w:rFonts w:ascii="Tahoma" w:eastAsia="Tahoma" w:hAnsi="Tahoma" w:cs="Tahoma"/>
      <w:b w:val="0"/>
      <w:bCs w:val="0"/>
      <w:i w:val="0"/>
      <w:iCs w:val="0"/>
      <w:smallCaps w:val="0"/>
      <w:strike w:val="0"/>
      <w:color w:val="DE8EA3"/>
      <w:sz w:val="17"/>
      <w:szCs w:val="17"/>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color w:val="E55D65"/>
      <w:u w:val="none"/>
      <w:shd w:val="clear" w:color="auto" w:fill="auto"/>
    </w:rPr>
  </w:style>
  <w:style w:type="paragraph" w:customStyle="1" w:styleId="Heading21">
    <w:name w:val="Heading #2"/>
    <w:basedOn w:val="Normal"/>
    <w:link w:val="Heading20"/>
    <w:pPr>
      <w:spacing w:line="300" w:lineRule="auto"/>
      <w:ind w:left="2190"/>
      <w:jc w:val="center"/>
      <w:outlineLvl w:val="1"/>
    </w:pPr>
    <w:rPr>
      <w:rFonts w:ascii="Times New Roman" w:eastAsia="Times New Roman" w:hAnsi="Times New Roman" w:cs="Times New Roman"/>
      <w:b/>
      <w:bCs/>
      <w:color w:val="2F4046"/>
      <w:sz w:val="22"/>
      <w:szCs w:val="22"/>
    </w:rPr>
  </w:style>
  <w:style w:type="paragraph" w:customStyle="1" w:styleId="Bodytext30">
    <w:name w:val="Body text (3)"/>
    <w:basedOn w:val="Normal"/>
    <w:link w:val="Bodytext3"/>
    <w:pPr>
      <w:ind w:firstLine="920"/>
    </w:pPr>
    <w:rPr>
      <w:rFonts w:ascii="Times New Roman" w:eastAsia="Times New Roman" w:hAnsi="Times New Roman" w:cs="Times New Roman"/>
      <w:b/>
      <w:bCs/>
      <w:i/>
      <w:iCs/>
      <w:color w:val="2F4046"/>
      <w:sz w:val="16"/>
      <w:szCs w:val="16"/>
    </w:rPr>
  </w:style>
  <w:style w:type="paragraph" w:styleId="BodyText">
    <w:name w:val="Body Text"/>
    <w:basedOn w:val="Normal"/>
    <w:link w:val="BodyTextChar"/>
    <w:qFormat/>
    <w:pPr>
      <w:spacing w:line="286" w:lineRule="auto"/>
      <w:ind w:firstLine="400"/>
    </w:pPr>
    <w:rPr>
      <w:rFonts w:ascii="Times New Roman" w:eastAsia="Times New Roman" w:hAnsi="Times New Roman" w:cs="Times New Roman"/>
      <w:color w:val="2F4046"/>
      <w:sz w:val="22"/>
      <w:szCs w:val="22"/>
    </w:rPr>
  </w:style>
  <w:style w:type="paragraph" w:customStyle="1" w:styleId="Tablecaption0">
    <w:name w:val="Table caption"/>
    <w:basedOn w:val="Normal"/>
    <w:link w:val="Tablecaption"/>
    <w:pPr>
      <w:spacing w:line="278" w:lineRule="auto"/>
      <w:ind w:left="280"/>
    </w:pPr>
    <w:rPr>
      <w:rFonts w:ascii="Times New Roman" w:eastAsia="Times New Roman" w:hAnsi="Times New Roman" w:cs="Times New Roman"/>
      <w:color w:val="DE8EA3"/>
      <w:w w:val="70"/>
      <w:sz w:val="17"/>
      <w:szCs w:val="17"/>
    </w:rPr>
  </w:style>
  <w:style w:type="paragraph" w:customStyle="1" w:styleId="Other0">
    <w:name w:val="Other"/>
    <w:basedOn w:val="Normal"/>
    <w:link w:val="Other"/>
    <w:pPr>
      <w:spacing w:line="286" w:lineRule="auto"/>
      <w:ind w:firstLine="400"/>
    </w:pPr>
    <w:rPr>
      <w:rFonts w:ascii="Times New Roman" w:eastAsia="Times New Roman" w:hAnsi="Times New Roman" w:cs="Times New Roman"/>
      <w:color w:val="2F4046"/>
      <w:sz w:val="22"/>
      <w:szCs w:val="22"/>
    </w:rPr>
  </w:style>
  <w:style w:type="paragraph" w:customStyle="1" w:styleId="Bodytext20">
    <w:name w:val="Body text (2)"/>
    <w:basedOn w:val="Normal"/>
    <w:link w:val="Bodytext2"/>
    <w:pPr>
      <w:spacing w:line="266" w:lineRule="auto"/>
      <w:ind w:left="4780"/>
      <w:jc w:val="right"/>
    </w:pPr>
    <w:rPr>
      <w:rFonts w:ascii="Tahoma" w:eastAsia="Tahoma" w:hAnsi="Tahoma" w:cs="Tahoma"/>
      <w:color w:val="DE8EA3"/>
      <w:sz w:val="17"/>
      <w:szCs w:val="17"/>
    </w:rPr>
  </w:style>
  <w:style w:type="paragraph" w:customStyle="1" w:styleId="Heading11">
    <w:name w:val="Heading #1"/>
    <w:basedOn w:val="Normal"/>
    <w:link w:val="Heading10"/>
    <w:pPr>
      <w:spacing w:line="180" w:lineRule="auto"/>
      <w:jc w:val="center"/>
      <w:outlineLvl w:val="0"/>
    </w:pPr>
    <w:rPr>
      <w:rFonts w:ascii="Times New Roman" w:eastAsia="Times New Roman" w:hAnsi="Times New Roman" w:cs="Times New Roman"/>
      <w:color w:val="E55D65"/>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dEjbvhKrgfYsALSHdLYGSflewQ==">CgMxLjA4AHIhMXdKa1BPT1I2ZFJjUm5xTnZXQWd1dTFZOU45TWZ1cndO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408</Words>
  <Characters>2327</Characters>
  <Application>Microsoft Office Word</Application>
  <DocSecurity>0</DocSecurity>
  <Lines>19</Lines>
  <Paragraphs>5</Paragraphs>
  <ScaleCrop>false</ScaleCrop>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Trinh Ha Phuong</cp:lastModifiedBy>
  <cp:revision>5</cp:revision>
  <dcterms:created xsi:type="dcterms:W3CDTF">2024-04-24T04:17:00Z</dcterms:created>
  <dcterms:modified xsi:type="dcterms:W3CDTF">2024-04-25T09:24:00Z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0a31d8c832876122ae1e75337f14ae24451c5ff98a7fdf44f0b1259268203091</vt:lpwstr>
  </property>
</Properties>
</file>