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5271" w14:textId="5372A422" w:rsidR="0027181C" w:rsidRPr="00424FA4" w:rsidRDefault="00DB4D89" w:rsidP="009F0F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24FA4">
        <w:rPr>
          <w:rFonts w:ascii="Arial" w:hAnsi="Arial" w:cs="Arial"/>
          <w:b/>
          <w:color w:val="010000"/>
          <w:sz w:val="20"/>
        </w:rPr>
        <w:t xml:space="preserve">DPC: Information disclosure on transferring to UPCOM </w:t>
      </w:r>
    </w:p>
    <w:p w14:paraId="248B5272" w14:textId="7CD938E3" w:rsidR="0027181C" w:rsidRPr="00424FA4" w:rsidRDefault="00DB4D89" w:rsidP="009F0F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4FA4">
        <w:rPr>
          <w:rFonts w:ascii="Arial" w:hAnsi="Arial" w:cs="Arial"/>
          <w:color w:val="010000"/>
          <w:sz w:val="20"/>
        </w:rPr>
        <w:t xml:space="preserve">On </w:t>
      </w:r>
      <w:r w:rsidR="00D7327B" w:rsidRPr="00424FA4">
        <w:rPr>
          <w:rFonts w:ascii="Arial" w:hAnsi="Arial" w:cs="Arial"/>
          <w:color w:val="010000"/>
          <w:sz w:val="20"/>
        </w:rPr>
        <w:t>April 23</w:t>
      </w:r>
      <w:r w:rsidRPr="00424FA4">
        <w:rPr>
          <w:rFonts w:ascii="Arial" w:hAnsi="Arial" w:cs="Arial"/>
          <w:color w:val="010000"/>
          <w:sz w:val="20"/>
        </w:rPr>
        <w:t xml:space="preserve">, 2024, Da Nang Plastic JSC announced </w:t>
      </w:r>
      <w:r w:rsidR="00D7327B" w:rsidRPr="00424FA4">
        <w:rPr>
          <w:rFonts w:ascii="Arial" w:hAnsi="Arial" w:cs="Arial"/>
          <w:color w:val="010000"/>
          <w:sz w:val="20"/>
        </w:rPr>
        <w:t xml:space="preserve">Official Dispatch </w:t>
      </w:r>
      <w:r w:rsidRPr="00424FA4">
        <w:rPr>
          <w:rFonts w:ascii="Arial" w:hAnsi="Arial" w:cs="Arial"/>
          <w:color w:val="010000"/>
          <w:sz w:val="20"/>
        </w:rPr>
        <w:t>No. 39/2024/CV-DPC/</w:t>
      </w:r>
      <w:r w:rsidR="00D7327B" w:rsidRPr="00424FA4">
        <w:rPr>
          <w:rFonts w:ascii="Arial" w:hAnsi="Arial" w:cs="Arial"/>
          <w:color w:val="010000"/>
          <w:sz w:val="20"/>
        </w:rPr>
        <w:t>TK/2024</w:t>
      </w:r>
      <w:r w:rsidRPr="00424FA4">
        <w:rPr>
          <w:rFonts w:ascii="Arial" w:hAnsi="Arial" w:cs="Arial"/>
          <w:color w:val="010000"/>
          <w:sz w:val="20"/>
        </w:rPr>
        <w:t xml:space="preserve"> as follows:</w:t>
      </w:r>
    </w:p>
    <w:p w14:paraId="248B5273" w14:textId="75140884" w:rsidR="0027181C" w:rsidRPr="00424FA4" w:rsidRDefault="00D7327B" w:rsidP="009F0F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24FA4">
        <w:rPr>
          <w:rFonts w:ascii="Arial" w:hAnsi="Arial" w:cs="Arial"/>
          <w:color w:val="010000"/>
          <w:sz w:val="20"/>
        </w:rPr>
        <w:t>Notice No. 1779/TB-VSDC on</w:t>
      </w:r>
      <w:bookmarkStart w:id="0" w:name="_GoBack"/>
      <w:bookmarkEnd w:id="0"/>
      <w:r w:rsidRPr="00424FA4">
        <w:rPr>
          <w:rFonts w:ascii="Arial" w:hAnsi="Arial" w:cs="Arial"/>
          <w:color w:val="010000"/>
          <w:sz w:val="20"/>
        </w:rPr>
        <w:t xml:space="preserve"> the </w:t>
      </w:r>
      <w:r w:rsidR="00DB4D89" w:rsidRPr="00424FA4">
        <w:rPr>
          <w:rFonts w:ascii="Arial" w:hAnsi="Arial" w:cs="Arial"/>
          <w:color w:val="010000"/>
          <w:sz w:val="20"/>
        </w:rPr>
        <w:t xml:space="preserve">transfer of data of depository </w:t>
      </w:r>
      <w:r w:rsidRPr="00424FA4">
        <w:rPr>
          <w:rFonts w:ascii="Arial" w:hAnsi="Arial" w:cs="Arial"/>
          <w:color w:val="010000"/>
          <w:sz w:val="20"/>
        </w:rPr>
        <w:t xml:space="preserve">and </w:t>
      </w:r>
      <w:r w:rsidR="00DB4D89" w:rsidRPr="00424FA4">
        <w:rPr>
          <w:rFonts w:ascii="Arial" w:hAnsi="Arial" w:cs="Arial"/>
          <w:color w:val="010000"/>
          <w:sz w:val="20"/>
        </w:rPr>
        <w:t xml:space="preserve">registration </w:t>
      </w:r>
      <w:r w:rsidRPr="00424FA4">
        <w:rPr>
          <w:rFonts w:ascii="Arial" w:hAnsi="Arial" w:cs="Arial"/>
          <w:color w:val="010000"/>
          <w:sz w:val="20"/>
        </w:rPr>
        <w:t xml:space="preserve">of DPC shares </w:t>
      </w:r>
      <w:r w:rsidR="00DB4D89" w:rsidRPr="00424FA4">
        <w:rPr>
          <w:rFonts w:ascii="Arial" w:hAnsi="Arial" w:cs="Arial"/>
          <w:color w:val="010000"/>
          <w:sz w:val="20"/>
        </w:rPr>
        <w:t xml:space="preserve">from the Listed Market at the Hanoi Stock Exchange to the </w:t>
      </w:r>
      <w:r w:rsidR="00424FA4" w:rsidRPr="00424FA4">
        <w:rPr>
          <w:rFonts w:ascii="Arial" w:hAnsi="Arial" w:cs="Arial"/>
          <w:color w:val="010000"/>
          <w:sz w:val="20"/>
        </w:rPr>
        <w:t xml:space="preserve">UPCOM </w:t>
      </w:r>
      <w:r w:rsidR="00DB4D89" w:rsidRPr="00424FA4">
        <w:rPr>
          <w:rFonts w:ascii="Arial" w:hAnsi="Arial" w:cs="Arial"/>
          <w:color w:val="010000"/>
          <w:sz w:val="20"/>
        </w:rPr>
        <w:t>at the Hanoi Stock Exchange</w:t>
      </w:r>
      <w:r w:rsidR="00424FA4" w:rsidRPr="00424FA4">
        <w:rPr>
          <w:rFonts w:ascii="Arial" w:hAnsi="Arial" w:cs="Arial"/>
          <w:color w:val="010000"/>
          <w:sz w:val="20"/>
        </w:rPr>
        <w:t>.</w:t>
      </w:r>
    </w:p>
    <w:sectPr w:rsidR="0027181C" w:rsidRPr="00424FA4" w:rsidSect="00DB4D8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1C"/>
    <w:rsid w:val="0027181C"/>
    <w:rsid w:val="002D38E5"/>
    <w:rsid w:val="00424FA4"/>
    <w:rsid w:val="009F0F5C"/>
    <w:rsid w:val="00D7327B"/>
    <w:rsid w:val="00D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B5271"/>
  <w15:docId w15:val="{42E5160F-A655-47E6-B368-B1A8068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41"/>
      <w:sz w:val="22"/>
      <w:szCs w:val="22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color w:val="535257"/>
      <w:sz w:val="16"/>
      <w:szCs w:val="16"/>
      <w:u w:val="singl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7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38" w:lineRule="auto"/>
      <w:ind w:firstLine="400"/>
    </w:pPr>
    <w:rPr>
      <w:rFonts w:ascii="Times New Roman" w:eastAsia="Times New Roman" w:hAnsi="Times New Roman" w:cs="Times New Roman"/>
      <w:color w:val="3C3C41"/>
      <w:sz w:val="22"/>
      <w:szCs w:val="22"/>
    </w:rPr>
  </w:style>
  <w:style w:type="paragraph" w:customStyle="1" w:styleId="Vnbnnidung30">
    <w:name w:val="Văn bản nội dung (3)"/>
    <w:basedOn w:val="Normal"/>
    <w:link w:val="Vnbnnidung3"/>
    <w:pPr>
      <w:ind w:firstLine="400"/>
    </w:pPr>
    <w:rPr>
      <w:rFonts w:ascii="Arial" w:eastAsia="Arial" w:hAnsi="Arial" w:cs="Arial"/>
      <w:color w:val="535257"/>
      <w:sz w:val="16"/>
      <w:szCs w:val="16"/>
      <w:u w:val="single"/>
    </w:rPr>
  </w:style>
  <w:style w:type="paragraph" w:customStyle="1" w:styleId="Vnbnnidung20">
    <w:name w:val="Văn bản nội dung (2)"/>
    <w:basedOn w:val="Normal"/>
    <w:link w:val="Vnbnnidung2"/>
    <w:pPr>
      <w:ind w:firstLine="620"/>
    </w:pPr>
    <w:rPr>
      <w:rFonts w:ascii="Times New Roman" w:eastAsia="Times New Roman" w:hAnsi="Times New Roman" w:cs="Times New Roman"/>
      <w:color w:val="535257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591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2AF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9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2AF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oe5qkf0EvFjtm6Yc4trrk6XXQ==">CgMxLjA4AHIhMVBPSHJha1NGMjI1M3JLUFhKbVowVDBGcnRpbFJkZDNj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2024-04-24T03:18:00Z</dcterms:created>
  <dcterms:modified xsi:type="dcterms:W3CDTF">2024-04-25T09:47:00Z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941ab47f168af60568067c112d7f48e3b873ee4a215eb2d33bda9ba1a96b7d3f</vt:lpwstr>
  </property>
</Properties>
</file>