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274FEE3" w:rsidR="001456E2" w:rsidRPr="00676590" w:rsidRDefault="00A6187C" w:rsidP="00A6187C">
      <w:pPr>
        <w:pBdr>
          <w:top w:val="nil"/>
          <w:left w:val="nil"/>
          <w:bottom w:val="nil"/>
          <w:right w:val="nil"/>
          <w:between w:val="nil"/>
        </w:pBdr>
        <w:tabs>
          <w:tab w:val="left" w:pos="432"/>
        </w:tabs>
        <w:spacing w:after="120" w:line="360" w:lineRule="auto"/>
        <w:jc w:val="both"/>
        <w:rPr>
          <w:rFonts w:ascii="Arial" w:eastAsia="Arial" w:hAnsi="Arial" w:cs="Arial"/>
          <w:b/>
          <w:color w:val="010000"/>
          <w:sz w:val="20"/>
          <w:szCs w:val="20"/>
        </w:rPr>
      </w:pPr>
      <w:r>
        <w:rPr>
          <w:rFonts w:ascii="Arial" w:hAnsi="Arial" w:cs="Arial"/>
          <w:b/>
          <w:color w:val="010000"/>
          <w:sz w:val="20"/>
        </w:rPr>
        <w:t>HKB: Explanation on and remedy for HKB stock under trading restriction</w:t>
      </w:r>
    </w:p>
    <w:p w14:paraId="00000003" w14:textId="3949B9D8" w:rsidR="001456E2" w:rsidRPr="00676590" w:rsidRDefault="005A0161" w:rsidP="00A618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590">
        <w:rPr>
          <w:rFonts w:ascii="Arial" w:hAnsi="Arial" w:cs="Arial"/>
          <w:color w:val="010000"/>
          <w:sz w:val="20"/>
        </w:rPr>
        <w:t xml:space="preserve">On April 23, 2024, Ha </w:t>
      </w:r>
      <w:proofErr w:type="spellStart"/>
      <w:r w:rsidRPr="00676590">
        <w:rPr>
          <w:rFonts w:ascii="Arial" w:hAnsi="Arial" w:cs="Arial"/>
          <w:color w:val="010000"/>
          <w:sz w:val="20"/>
        </w:rPr>
        <w:t>Noi</w:t>
      </w:r>
      <w:proofErr w:type="spellEnd"/>
      <w:r w:rsidRPr="00676590">
        <w:rPr>
          <w:rFonts w:ascii="Arial" w:hAnsi="Arial" w:cs="Arial"/>
          <w:color w:val="010000"/>
          <w:sz w:val="20"/>
        </w:rPr>
        <w:t xml:space="preserve"> - </w:t>
      </w:r>
      <w:proofErr w:type="spellStart"/>
      <w:r w:rsidRPr="00676590">
        <w:rPr>
          <w:rFonts w:ascii="Arial" w:hAnsi="Arial" w:cs="Arial"/>
          <w:color w:val="010000"/>
          <w:sz w:val="20"/>
        </w:rPr>
        <w:t>Kinh</w:t>
      </w:r>
      <w:proofErr w:type="spellEnd"/>
      <w:r w:rsidRPr="00676590">
        <w:rPr>
          <w:rFonts w:ascii="Arial" w:hAnsi="Arial" w:cs="Arial"/>
          <w:color w:val="010000"/>
          <w:sz w:val="20"/>
        </w:rPr>
        <w:t xml:space="preserve"> Bac Agriculture and Food JSC announced Official Dispatch No. 12/HKB-CV on explaining Official Dispatch No. 257/QD-SGDHN dated April 03, 2024 as follows:</w:t>
      </w:r>
    </w:p>
    <w:p w14:paraId="00000004" w14:textId="77777777" w:rsidR="001456E2" w:rsidRPr="00676590" w:rsidRDefault="005A0161" w:rsidP="00A6187C">
      <w:pPr>
        <w:keepNext/>
        <w:numPr>
          <w:ilvl w:val="0"/>
          <w:numId w:val="2"/>
        </w:numPr>
        <w:pBdr>
          <w:top w:val="nil"/>
          <w:left w:val="nil"/>
          <w:bottom w:val="nil"/>
          <w:right w:val="nil"/>
          <w:between w:val="nil"/>
        </w:pBdr>
        <w:tabs>
          <w:tab w:val="left" w:pos="432"/>
          <w:tab w:val="left" w:pos="998"/>
        </w:tabs>
        <w:spacing w:after="120" w:line="360" w:lineRule="auto"/>
        <w:jc w:val="both"/>
        <w:rPr>
          <w:rFonts w:ascii="Arial" w:eastAsia="Arial" w:hAnsi="Arial" w:cs="Arial"/>
          <w:color w:val="010000"/>
          <w:sz w:val="20"/>
          <w:szCs w:val="20"/>
        </w:rPr>
      </w:pPr>
      <w:r w:rsidRPr="00676590">
        <w:rPr>
          <w:rFonts w:ascii="Arial" w:hAnsi="Arial" w:cs="Arial"/>
          <w:color w:val="010000"/>
          <w:sz w:val="20"/>
        </w:rPr>
        <w:t>Reason for the disclaimer of opinion on the Audited Financial Statements 2023:</w:t>
      </w:r>
    </w:p>
    <w:p w14:paraId="00000005" w14:textId="5C6B5F38" w:rsidR="001456E2" w:rsidRPr="00676590" w:rsidRDefault="005A0161" w:rsidP="00A618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590">
        <w:rPr>
          <w:rFonts w:ascii="Arial" w:hAnsi="Arial" w:cs="Arial"/>
          <w:color w:val="010000"/>
          <w:sz w:val="20"/>
        </w:rPr>
        <w:t>Auditor’s disclaimer of opinion in the independent auditor's report</w:t>
      </w:r>
      <w:r w:rsidR="00676590" w:rsidRPr="00676590">
        <w:rPr>
          <w:rFonts w:ascii="Arial" w:hAnsi="Arial" w:cs="Arial"/>
          <w:color w:val="010000"/>
          <w:sz w:val="20"/>
        </w:rPr>
        <w:t>s</w:t>
      </w:r>
      <w:r w:rsidRPr="00676590">
        <w:rPr>
          <w:rFonts w:ascii="Arial" w:hAnsi="Arial" w:cs="Arial"/>
          <w:color w:val="010000"/>
          <w:sz w:val="20"/>
        </w:rPr>
        <w:t xml:space="preserve"> No. 126/2024/BCKT-CPA VIETNAM-NV1 and No. 127/2024/BCKT-CPA VIETNAM-NV2, issued by CPA Vietnam Auditing Company Limited.</w:t>
      </w:r>
    </w:p>
    <w:p w14:paraId="00000006" w14:textId="77777777" w:rsidR="001456E2" w:rsidRPr="00676590" w:rsidRDefault="005A0161" w:rsidP="00A6187C">
      <w:pPr>
        <w:keepNext/>
        <w:numPr>
          <w:ilvl w:val="0"/>
          <w:numId w:val="2"/>
        </w:numPr>
        <w:pBdr>
          <w:top w:val="nil"/>
          <w:left w:val="nil"/>
          <w:bottom w:val="nil"/>
          <w:right w:val="nil"/>
          <w:between w:val="nil"/>
        </w:pBdr>
        <w:tabs>
          <w:tab w:val="left" w:pos="432"/>
          <w:tab w:val="left" w:pos="1017"/>
        </w:tabs>
        <w:spacing w:after="120" w:line="360" w:lineRule="auto"/>
        <w:jc w:val="both"/>
        <w:rPr>
          <w:rFonts w:ascii="Arial" w:eastAsia="Arial" w:hAnsi="Arial" w:cs="Arial"/>
          <w:color w:val="010000"/>
          <w:sz w:val="20"/>
          <w:szCs w:val="20"/>
        </w:rPr>
      </w:pPr>
      <w:r w:rsidRPr="00676590">
        <w:rPr>
          <w:rFonts w:ascii="Arial" w:hAnsi="Arial" w:cs="Arial"/>
          <w:color w:val="010000"/>
          <w:sz w:val="20"/>
        </w:rPr>
        <w:t>Reason:</w:t>
      </w:r>
    </w:p>
    <w:p w14:paraId="00000007" w14:textId="77777777" w:rsidR="001456E2" w:rsidRPr="00676590" w:rsidRDefault="005A0161" w:rsidP="00A6187C">
      <w:pPr>
        <w:numPr>
          <w:ilvl w:val="0"/>
          <w:numId w:val="1"/>
        </w:numPr>
        <w:pBdr>
          <w:top w:val="nil"/>
          <w:left w:val="nil"/>
          <w:bottom w:val="nil"/>
          <w:right w:val="nil"/>
          <w:between w:val="nil"/>
        </w:pBdr>
        <w:tabs>
          <w:tab w:val="left" w:pos="432"/>
          <w:tab w:val="left" w:pos="1022"/>
        </w:tabs>
        <w:spacing w:after="120" w:line="360" w:lineRule="auto"/>
        <w:jc w:val="both"/>
        <w:rPr>
          <w:rFonts w:ascii="Arial" w:eastAsia="Arial" w:hAnsi="Arial" w:cs="Arial"/>
          <w:color w:val="010000"/>
          <w:sz w:val="20"/>
          <w:szCs w:val="20"/>
        </w:rPr>
      </w:pPr>
      <w:r w:rsidRPr="00676590">
        <w:rPr>
          <w:rFonts w:ascii="Arial" w:hAnsi="Arial" w:cs="Arial"/>
          <w:color w:val="010000"/>
          <w:sz w:val="20"/>
        </w:rPr>
        <w:t>The deduction for Goodwill is due to the audit standard according to the accounting entries of the previous audit company, arising from 2016.</w:t>
      </w:r>
    </w:p>
    <w:p w14:paraId="00000008" w14:textId="531BEF75" w:rsidR="001456E2" w:rsidRPr="00676590" w:rsidRDefault="005A0161" w:rsidP="00A6187C">
      <w:pPr>
        <w:numPr>
          <w:ilvl w:val="0"/>
          <w:numId w:val="1"/>
        </w:numPr>
        <w:pBdr>
          <w:top w:val="nil"/>
          <w:left w:val="nil"/>
          <w:bottom w:val="nil"/>
          <w:right w:val="nil"/>
          <w:between w:val="nil"/>
        </w:pBdr>
        <w:tabs>
          <w:tab w:val="left" w:pos="432"/>
          <w:tab w:val="left" w:pos="1022"/>
        </w:tabs>
        <w:spacing w:after="120" w:line="360" w:lineRule="auto"/>
        <w:jc w:val="both"/>
        <w:rPr>
          <w:rFonts w:ascii="Arial" w:eastAsia="Arial" w:hAnsi="Arial" w:cs="Arial"/>
          <w:color w:val="010000"/>
          <w:sz w:val="20"/>
          <w:szCs w:val="20"/>
        </w:rPr>
      </w:pPr>
      <w:r w:rsidRPr="00676590">
        <w:rPr>
          <w:rFonts w:ascii="Arial" w:hAnsi="Arial" w:cs="Arial"/>
          <w:color w:val="010000"/>
          <w:sz w:val="20"/>
        </w:rPr>
        <w:t>HKB Company is restructuring and rearranging credit capital with banks, so it cannot meet enough short-term capital to serve production and business activities.</w:t>
      </w:r>
    </w:p>
    <w:p w14:paraId="00000009" w14:textId="77777777" w:rsidR="001456E2" w:rsidRPr="00676590" w:rsidRDefault="005A0161" w:rsidP="00A6187C">
      <w:pPr>
        <w:keepNext/>
        <w:numPr>
          <w:ilvl w:val="0"/>
          <w:numId w:val="2"/>
        </w:numPr>
        <w:pBdr>
          <w:top w:val="nil"/>
          <w:left w:val="nil"/>
          <w:bottom w:val="nil"/>
          <w:right w:val="nil"/>
          <w:between w:val="nil"/>
        </w:pBdr>
        <w:tabs>
          <w:tab w:val="left" w:pos="432"/>
          <w:tab w:val="left" w:pos="1017"/>
        </w:tabs>
        <w:spacing w:after="120" w:line="360" w:lineRule="auto"/>
        <w:jc w:val="both"/>
        <w:rPr>
          <w:rFonts w:ascii="Arial" w:eastAsia="Arial" w:hAnsi="Arial" w:cs="Arial"/>
          <w:color w:val="010000"/>
          <w:sz w:val="20"/>
          <w:szCs w:val="20"/>
        </w:rPr>
      </w:pPr>
      <w:r w:rsidRPr="00676590">
        <w:rPr>
          <w:rFonts w:ascii="Arial" w:hAnsi="Arial" w:cs="Arial"/>
          <w:color w:val="010000"/>
          <w:sz w:val="20"/>
        </w:rPr>
        <w:t>Solution:</w:t>
      </w:r>
    </w:p>
    <w:p w14:paraId="0000000A" w14:textId="461DDFF1" w:rsidR="001456E2" w:rsidRPr="00676590" w:rsidRDefault="005A0161" w:rsidP="00A6187C">
      <w:pPr>
        <w:numPr>
          <w:ilvl w:val="0"/>
          <w:numId w:val="1"/>
        </w:numPr>
        <w:pBdr>
          <w:top w:val="nil"/>
          <w:left w:val="nil"/>
          <w:bottom w:val="nil"/>
          <w:right w:val="nil"/>
          <w:between w:val="nil"/>
        </w:pBdr>
        <w:tabs>
          <w:tab w:val="left" w:pos="432"/>
          <w:tab w:val="left" w:pos="1007"/>
        </w:tabs>
        <w:spacing w:after="120" w:line="360" w:lineRule="auto"/>
        <w:jc w:val="both"/>
        <w:rPr>
          <w:rFonts w:ascii="Arial" w:eastAsia="Arial" w:hAnsi="Arial" w:cs="Arial"/>
          <w:color w:val="010000"/>
          <w:sz w:val="20"/>
          <w:szCs w:val="20"/>
        </w:rPr>
      </w:pPr>
      <w:r w:rsidRPr="00676590">
        <w:rPr>
          <w:rFonts w:ascii="Arial" w:hAnsi="Arial" w:cs="Arial"/>
          <w:color w:val="010000"/>
          <w:sz w:val="20"/>
        </w:rPr>
        <w:t xml:space="preserve">The Company is trying to exploit the existing warehouse and facilities assets and to find partners to implement new projects (such as solar energy production, etc.) to create efficiency from investment and business to overcome current difficulties and </w:t>
      </w:r>
      <w:r w:rsidR="00A6187C">
        <w:rPr>
          <w:rFonts w:ascii="Arial" w:hAnsi="Arial" w:cs="Arial"/>
          <w:color w:val="010000"/>
          <w:sz w:val="20"/>
        </w:rPr>
        <w:t>grow</w:t>
      </w:r>
      <w:r w:rsidRPr="00676590">
        <w:rPr>
          <w:rFonts w:ascii="Arial" w:hAnsi="Arial" w:cs="Arial"/>
          <w:color w:val="010000"/>
          <w:sz w:val="20"/>
        </w:rPr>
        <w:t xml:space="preserve"> profitable to revive the development of the business.</w:t>
      </w:r>
    </w:p>
    <w:p w14:paraId="0000000B" w14:textId="47F05974" w:rsidR="001456E2" w:rsidRPr="00676590" w:rsidRDefault="005A0161" w:rsidP="00A6187C">
      <w:pPr>
        <w:numPr>
          <w:ilvl w:val="0"/>
          <w:numId w:val="1"/>
        </w:num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r w:rsidRPr="00676590">
        <w:rPr>
          <w:rFonts w:ascii="Arial" w:hAnsi="Arial" w:cs="Arial"/>
          <w:color w:val="010000"/>
          <w:sz w:val="20"/>
        </w:rPr>
        <w:t xml:space="preserve">The Company is </w:t>
      </w:r>
      <w:r w:rsidR="00A6187C">
        <w:rPr>
          <w:rFonts w:ascii="Arial" w:hAnsi="Arial" w:cs="Arial"/>
          <w:color w:val="010000"/>
          <w:sz w:val="20"/>
        </w:rPr>
        <w:t>striving to come up with</w:t>
      </w:r>
      <w:bookmarkStart w:id="0" w:name="_GoBack"/>
      <w:bookmarkEnd w:id="0"/>
      <w:r w:rsidRPr="00676590">
        <w:rPr>
          <w:rFonts w:ascii="Arial" w:hAnsi="Arial" w:cs="Arial"/>
          <w:color w:val="010000"/>
          <w:sz w:val="20"/>
        </w:rPr>
        <w:t xml:space="preserve"> new solutions for business cooperation and investment, new methods to connect, consolidate management dossiers and new business strategies. When there are signs of new prospects, the Company will report to the shareholders, Hanoi Stock Exchange, and relevant management agencies.</w:t>
      </w:r>
    </w:p>
    <w:p w14:paraId="0000000C" w14:textId="71BE3005" w:rsidR="001456E2" w:rsidRPr="00676590" w:rsidRDefault="001456E2" w:rsidP="00A6187C">
      <w:pPr>
        <w:pBdr>
          <w:top w:val="nil"/>
          <w:left w:val="nil"/>
          <w:bottom w:val="nil"/>
          <w:right w:val="nil"/>
          <w:between w:val="nil"/>
        </w:pBdr>
        <w:tabs>
          <w:tab w:val="left" w:pos="432"/>
        </w:tabs>
        <w:spacing w:after="120" w:line="360" w:lineRule="auto"/>
        <w:jc w:val="both"/>
        <w:rPr>
          <w:rFonts w:ascii="Arial" w:eastAsia="Arial" w:hAnsi="Arial" w:cs="Arial"/>
          <w:color w:val="010000"/>
          <w:sz w:val="20"/>
          <w:szCs w:val="20"/>
        </w:rPr>
      </w:pPr>
    </w:p>
    <w:sectPr w:rsidR="001456E2" w:rsidRPr="00676590" w:rsidSect="005A0161">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925"/>
    <w:multiLevelType w:val="multilevel"/>
    <w:tmpl w:val="86527B7A"/>
    <w:lvl w:ilvl="0">
      <w:start w:val="1"/>
      <w:numFmt w:val="bullet"/>
      <w:lvlText w:val="-"/>
      <w:lvlJc w:val="left"/>
      <w:pPr>
        <w:ind w:left="0" w:firstLine="0"/>
      </w:pPr>
      <w:rPr>
        <w:rFonts w:ascii="Arial" w:eastAsia="Arial" w:hAnsi="Arial" w:cs="Arial"/>
        <w:b w:val="0"/>
        <w:i w:val="0"/>
        <w:smallCaps w:val="0"/>
        <w:strike w:val="0"/>
        <w:color w:val="464E55"/>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990010E"/>
    <w:multiLevelType w:val="multilevel"/>
    <w:tmpl w:val="3E68A1FE"/>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E2"/>
    <w:rsid w:val="001456E2"/>
    <w:rsid w:val="005A0161"/>
    <w:rsid w:val="00676590"/>
    <w:rsid w:val="00A6187C"/>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44A27"/>
  <w15:docId w15:val="{271F2EAB-78D4-4DA6-80CA-D98AD8F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Heading10">
    <w:name w:val="Heading #1_"/>
    <w:basedOn w:val="DefaultParagraphFont"/>
    <w:link w:val="Heading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32"/>
      <w:szCs w:val="32"/>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3"/>
      <w:szCs w:val="13"/>
      <w:u w:val="none"/>
      <w:shd w:val="clear" w:color="auto" w:fill="auto"/>
    </w:rPr>
  </w:style>
  <w:style w:type="paragraph" w:customStyle="1" w:styleId="Bodytext30">
    <w:name w:val="Body text (3)"/>
    <w:basedOn w:val="Normal"/>
    <w:link w:val="Bodytext3"/>
    <w:pPr>
      <w:spacing w:line="286" w:lineRule="auto"/>
      <w:jc w:val="center"/>
    </w:pPr>
    <w:rPr>
      <w:rFonts w:ascii="Times New Roman" w:eastAsia="Times New Roman" w:hAnsi="Times New Roman" w:cs="Times New Roman"/>
      <w:b/>
      <w:bCs/>
      <w:sz w:val="22"/>
      <w:szCs w:val="22"/>
    </w:rPr>
  </w:style>
  <w:style w:type="paragraph" w:styleId="BodyText">
    <w:name w:val="Body Text"/>
    <w:basedOn w:val="Normal"/>
    <w:link w:val="BodyTextChar"/>
    <w:qFormat/>
    <w:pPr>
      <w:spacing w:line="360" w:lineRule="auto"/>
      <w:ind w:firstLine="140"/>
    </w:pPr>
    <w:rPr>
      <w:rFonts w:ascii="Times New Roman" w:eastAsia="Times New Roman" w:hAnsi="Times New Roman" w:cs="Times New Roman"/>
      <w:sz w:val="28"/>
      <w:szCs w:val="28"/>
    </w:rPr>
  </w:style>
  <w:style w:type="paragraph" w:customStyle="1" w:styleId="Heading11">
    <w:name w:val="Heading #1"/>
    <w:basedOn w:val="Normal"/>
    <w:link w:val="Heading10"/>
    <w:pPr>
      <w:spacing w:line="389" w:lineRule="auto"/>
      <w:ind w:firstLine="620"/>
      <w:outlineLvl w:val="0"/>
    </w:pPr>
    <w:rPr>
      <w:rFonts w:ascii="Times New Roman" w:eastAsia="Times New Roman" w:hAnsi="Times New Roman" w:cs="Times New Roman"/>
      <w:b/>
      <w:bCs/>
      <w:sz w:val="26"/>
      <w:szCs w:val="26"/>
    </w:rPr>
  </w:style>
  <w:style w:type="paragraph" w:customStyle="1" w:styleId="Bodytext40">
    <w:name w:val="Body text (4)"/>
    <w:basedOn w:val="Normal"/>
    <w:link w:val="Bodytext4"/>
    <w:pPr>
      <w:jc w:val="center"/>
    </w:pPr>
    <w:rPr>
      <w:rFonts w:ascii="Arial" w:eastAsia="Arial" w:hAnsi="Arial" w:cs="Arial"/>
      <w:sz w:val="32"/>
      <w:szCs w:val="32"/>
    </w:rPr>
  </w:style>
  <w:style w:type="paragraph" w:customStyle="1" w:styleId="Bodytext20">
    <w:name w:val="Body text (2)"/>
    <w:basedOn w:val="Normal"/>
    <w:link w:val="Bodytext2"/>
    <w:rPr>
      <w:rFonts w:ascii="Arial" w:eastAsia="Arial" w:hAnsi="Arial" w:cs="Arial"/>
      <w:sz w:val="13"/>
      <w:szCs w:val="13"/>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yKF4wTULk4FbaSPkJsipjhj9wA==">CgMxLjA4AHIhMVVKcUx2T1VGNk5JT0RPUlUyQjNUZi0yM1luZ00zZE5m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2024-04-25T03:53:00Z</dcterms:created>
  <dcterms:modified xsi:type="dcterms:W3CDTF">2024-04-25T03:53:00Z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f6c3e89f940fbe7d264d9827d115655e6bfafbac0b2660d24244625ae90c0568</vt:lpwstr>
  </property>
</Properties>
</file>