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3272" w14:textId="77777777" w:rsidR="009E24AD" w:rsidRPr="00495C12" w:rsidRDefault="009E24A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495C12">
        <w:rPr>
          <w:rFonts w:ascii="Arial" w:hAnsi="Arial" w:cs="Arial"/>
          <w:b/>
          <w:color w:val="010000"/>
          <w:sz w:val="20"/>
        </w:rPr>
        <w:t>HLS: Board Resolution</w:t>
      </w:r>
    </w:p>
    <w:p w14:paraId="4978FD62" w14:textId="3C4B2C4D" w:rsidR="009E24AD" w:rsidRPr="00495C12" w:rsidRDefault="009E24A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On April 22, 2024, Hoang Lien Son Technical Ceramics Joint Stock Company announced Resolution No. 22/NQ-HDQT as follows:</w:t>
      </w:r>
    </w:p>
    <w:p w14:paraId="295053A7" w14:textId="3A96E26B" w:rsidR="00AA730C" w:rsidRPr="00495C12" w:rsidRDefault="002A6C9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‎‎Article 1. Approve the contents on dividend payment in 2023 of Hoang Lien Son Technical Ceramics Joint Stock Company, specifically as follows:</w:t>
      </w:r>
    </w:p>
    <w:p w14:paraId="09A5F9CC" w14:textId="77777777" w:rsidR="00AA730C" w:rsidRPr="00495C12" w:rsidRDefault="002A6C9D" w:rsidP="00656EBA">
      <w:pPr>
        <w:pStyle w:val="Vnbnnidung0"/>
        <w:numPr>
          <w:ilvl w:val="0"/>
          <w:numId w:val="1"/>
        </w:numPr>
        <w:tabs>
          <w:tab w:val="left" w:pos="95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Payment form: In cash</w:t>
      </w:r>
    </w:p>
    <w:p w14:paraId="3F6CCF91" w14:textId="01AB4835" w:rsidR="00AA730C" w:rsidRPr="00495C12" w:rsidRDefault="002A6C9D" w:rsidP="00656EBA">
      <w:pPr>
        <w:pStyle w:val="Vnbnnidung0"/>
        <w:numPr>
          <w:ilvl w:val="0"/>
          <w:numId w:val="1"/>
        </w:numPr>
        <w:tabs>
          <w:tab w:val="left" w:pos="95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Exercise rate</w:t>
      </w:r>
      <w:r w:rsidR="00495C12" w:rsidRPr="00495C12">
        <w:rPr>
          <w:rFonts w:ascii="Arial" w:hAnsi="Arial" w:cs="Arial"/>
          <w:color w:val="010000"/>
          <w:sz w:val="20"/>
        </w:rPr>
        <w:t>:</w:t>
      </w:r>
      <w:r w:rsidR="00656EBA">
        <w:rPr>
          <w:rFonts w:ascii="Arial" w:hAnsi="Arial" w:cs="Arial"/>
          <w:color w:val="010000"/>
          <w:sz w:val="20"/>
        </w:rPr>
        <w:t xml:space="preserve"> 10%</w:t>
      </w:r>
      <w:r w:rsidRPr="00495C12">
        <w:rPr>
          <w:rFonts w:ascii="Arial" w:hAnsi="Arial" w:cs="Arial"/>
          <w:color w:val="010000"/>
          <w:sz w:val="20"/>
        </w:rPr>
        <w:t xml:space="preserve"> (Shareholders receive VND 1,000 for every </w:t>
      </w:r>
      <w:r w:rsidR="00656EBA">
        <w:rPr>
          <w:rFonts w:ascii="Arial" w:hAnsi="Arial" w:cs="Arial"/>
          <w:color w:val="010000"/>
          <w:sz w:val="20"/>
        </w:rPr>
        <w:t>01 share owned</w:t>
      </w:r>
      <w:bookmarkStart w:id="0" w:name="_GoBack"/>
      <w:bookmarkEnd w:id="0"/>
      <w:r w:rsidRPr="00495C12">
        <w:rPr>
          <w:rFonts w:ascii="Arial" w:hAnsi="Arial" w:cs="Arial"/>
          <w:color w:val="010000"/>
          <w:sz w:val="20"/>
        </w:rPr>
        <w:t>)</w:t>
      </w:r>
    </w:p>
    <w:p w14:paraId="4C63B9F4" w14:textId="77777777" w:rsidR="00AA730C" w:rsidRPr="00495C12" w:rsidRDefault="002A6C9D" w:rsidP="00656EBA">
      <w:pPr>
        <w:pStyle w:val="Vnbnnidung0"/>
        <w:numPr>
          <w:ilvl w:val="0"/>
          <w:numId w:val="1"/>
        </w:numPr>
        <w:tabs>
          <w:tab w:val="left" w:pos="95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Record date: May 13, 2024</w:t>
      </w:r>
    </w:p>
    <w:p w14:paraId="28E19C09" w14:textId="77777777" w:rsidR="00AA730C" w:rsidRPr="00495C12" w:rsidRDefault="002A6C9D" w:rsidP="00656EBA">
      <w:pPr>
        <w:pStyle w:val="Vnbnnidung0"/>
        <w:numPr>
          <w:ilvl w:val="0"/>
          <w:numId w:val="1"/>
        </w:numPr>
        <w:tabs>
          <w:tab w:val="left" w:pos="95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Dividend payment date: June 14, 2024</w:t>
      </w:r>
    </w:p>
    <w:p w14:paraId="722BC94D" w14:textId="77777777" w:rsidR="00AA730C" w:rsidRPr="00495C12" w:rsidRDefault="002A6C9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‎‎Article 2. Organization and Implementation:</w:t>
      </w:r>
    </w:p>
    <w:p w14:paraId="14D68C7B" w14:textId="77777777" w:rsidR="00AA730C" w:rsidRPr="00495C12" w:rsidRDefault="002A6C9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Members of the Board of Directors, the Supervisory Board, the Board of Management and Heads of relevant departments and subsidiaries implement this Resolution pursuant to their duties and authorities.</w:t>
      </w:r>
    </w:p>
    <w:p w14:paraId="4EF8FC67" w14:textId="41DAF800" w:rsidR="00AA730C" w:rsidRPr="00495C12" w:rsidRDefault="002A6C9D" w:rsidP="00656EB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495C12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AA730C" w:rsidRPr="00495C12" w:rsidSect="00147A9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D9D0" w14:textId="77777777" w:rsidR="00B47485" w:rsidRDefault="00B47485">
      <w:r>
        <w:separator/>
      </w:r>
    </w:p>
  </w:endnote>
  <w:endnote w:type="continuationSeparator" w:id="0">
    <w:p w14:paraId="49EC900F" w14:textId="77777777" w:rsidR="00B47485" w:rsidRDefault="00B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0CDD" w14:textId="77777777" w:rsidR="00B47485" w:rsidRDefault="00B47485"/>
  </w:footnote>
  <w:footnote w:type="continuationSeparator" w:id="0">
    <w:p w14:paraId="30D17C92" w14:textId="77777777" w:rsidR="00B47485" w:rsidRDefault="00B47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5BBE"/>
    <w:multiLevelType w:val="multilevel"/>
    <w:tmpl w:val="EEFAAFC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14E56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C"/>
    <w:rsid w:val="000E5EEC"/>
    <w:rsid w:val="00147A92"/>
    <w:rsid w:val="002A6C9D"/>
    <w:rsid w:val="00495C12"/>
    <w:rsid w:val="00656EBA"/>
    <w:rsid w:val="006B0AFE"/>
    <w:rsid w:val="009E24AD"/>
    <w:rsid w:val="00AA730C"/>
    <w:rsid w:val="00B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B10CF"/>
  <w15:docId w15:val="{C525B692-6B88-4A80-8A6C-1615D42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E5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E56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414E5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color w:val="414E5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2024-04-25T03:54:00Z</dcterms:created>
  <dcterms:modified xsi:type="dcterms:W3CDTF">2024-04-25T03:54:00Z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d23a69de8f796756399ac1d2213a88fa677be8707f9b0295488550377b354ddf</vt:lpwstr>
  </property>
</Properties>
</file>