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8C9E948" w:rsidR="001F5CDE" w:rsidRPr="00982828" w:rsidRDefault="00810BF8" w:rsidP="0008176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982828">
        <w:rPr>
          <w:rFonts w:ascii="Arial" w:hAnsi="Arial" w:cs="Arial"/>
          <w:b/>
          <w:color w:val="010000"/>
          <w:sz w:val="20"/>
        </w:rPr>
        <w:t>PRC</w:t>
      </w:r>
      <w:r w:rsidR="00982828" w:rsidRPr="00982828">
        <w:rPr>
          <w:rFonts w:ascii="Arial" w:hAnsi="Arial" w:cs="Arial"/>
          <w:b/>
          <w:color w:val="010000"/>
          <w:sz w:val="20"/>
        </w:rPr>
        <w:t>:</w:t>
      </w:r>
      <w:r w:rsidRPr="00982828">
        <w:rPr>
          <w:rFonts w:ascii="Arial" w:hAnsi="Arial" w:cs="Arial"/>
          <w:b/>
          <w:color w:val="010000"/>
          <w:sz w:val="20"/>
        </w:rPr>
        <w:t xml:space="preserve"> Annual General Mandate 2024</w:t>
      </w:r>
    </w:p>
    <w:p w14:paraId="00000002" w14:textId="77777777" w:rsidR="001F5CDE" w:rsidRPr="00982828" w:rsidRDefault="00810BF8" w:rsidP="0008176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2828">
        <w:rPr>
          <w:rFonts w:ascii="Arial" w:hAnsi="Arial" w:cs="Arial"/>
          <w:color w:val="010000"/>
          <w:sz w:val="20"/>
        </w:rPr>
        <w:t xml:space="preserve">On April 20, 2024, </w:t>
      </w:r>
      <w:proofErr w:type="spellStart"/>
      <w:r w:rsidRPr="00982828">
        <w:rPr>
          <w:rFonts w:ascii="Arial" w:hAnsi="Arial" w:cs="Arial"/>
          <w:color w:val="010000"/>
          <w:sz w:val="20"/>
        </w:rPr>
        <w:t>Portserco</w:t>
      </w:r>
      <w:proofErr w:type="spellEnd"/>
      <w:r w:rsidRPr="00982828">
        <w:rPr>
          <w:rFonts w:ascii="Arial" w:hAnsi="Arial" w:cs="Arial"/>
          <w:color w:val="010000"/>
          <w:sz w:val="20"/>
        </w:rPr>
        <w:t xml:space="preserve"> JSC announced General Mandate as follows:</w:t>
      </w:r>
    </w:p>
    <w:p w14:paraId="00000003" w14:textId="77777777" w:rsidR="001F5CDE" w:rsidRPr="00982828" w:rsidRDefault="00810BF8" w:rsidP="0008176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2828">
        <w:rPr>
          <w:rFonts w:ascii="Arial" w:hAnsi="Arial" w:cs="Arial"/>
          <w:color w:val="010000"/>
          <w:sz w:val="20"/>
        </w:rPr>
        <w:t>Article 1: Situation of the Annual General Meeting of Shareholders 2024:</w:t>
      </w:r>
    </w:p>
    <w:p w14:paraId="00000004" w14:textId="147237DB" w:rsidR="001F5CDE" w:rsidRPr="00982828" w:rsidRDefault="00810BF8" w:rsidP="0008176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2828">
        <w:rPr>
          <w:rFonts w:ascii="Arial" w:hAnsi="Arial" w:cs="Arial"/>
          <w:color w:val="010000"/>
          <w:sz w:val="20"/>
        </w:rPr>
        <w:t xml:space="preserve">The Annual General Meeting of Shareholders 2024 of </w:t>
      </w:r>
      <w:proofErr w:type="spellStart"/>
      <w:r w:rsidRPr="00982828">
        <w:rPr>
          <w:rFonts w:ascii="Arial" w:hAnsi="Arial" w:cs="Arial"/>
          <w:color w:val="010000"/>
          <w:sz w:val="20"/>
        </w:rPr>
        <w:t>Portserco</w:t>
      </w:r>
      <w:proofErr w:type="spellEnd"/>
      <w:r w:rsidRPr="00982828">
        <w:rPr>
          <w:rFonts w:ascii="Arial" w:hAnsi="Arial" w:cs="Arial"/>
          <w:color w:val="010000"/>
          <w:sz w:val="20"/>
        </w:rPr>
        <w:t xml:space="preserve"> JSC was held at 8:00 a.m. on April 20, 2024 at Song Han Hotel - No. 14 Ly </w:t>
      </w:r>
      <w:proofErr w:type="spellStart"/>
      <w:r w:rsidRPr="00982828">
        <w:rPr>
          <w:rFonts w:ascii="Arial" w:hAnsi="Arial" w:cs="Arial"/>
          <w:color w:val="010000"/>
          <w:sz w:val="20"/>
        </w:rPr>
        <w:t>Tu</w:t>
      </w:r>
      <w:proofErr w:type="spellEnd"/>
      <w:r w:rsidRPr="0098282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82828">
        <w:rPr>
          <w:rFonts w:ascii="Arial" w:hAnsi="Arial" w:cs="Arial"/>
          <w:color w:val="010000"/>
          <w:sz w:val="20"/>
        </w:rPr>
        <w:t>Trong</w:t>
      </w:r>
      <w:proofErr w:type="spellEnd"/>
      <w:r w:rsidRPr="00982828">
        <w:rPr>
          <w:rFonts w:ascii="Arial" w:hAnsi="Arial" w:cs="Arial"/>
          <w:color w:val="010000"/>
          <w:sz w:val="20"/>
        </w:rPr>
        <w:t xml:space="preserve">, Thach Thang Ward, Hai Chau District, Da Nang </w:t>
      </w:r>
      <w:proofErr w:type="spellStart"/>
      <w:r w:rsidRPr="00982828">
        <w:rPr>
          <w:rFonts w:ascii="Arial" w:hAnsi="Arial" w:cs="Arial"/>
          <w:color w:val="010000"/>
          <w:sz w:val="20"/>
        </w:rPr>
        <w:t>CIty</w:t>
      </w:r>
      <w:proofErr w:type="spellEnd"/>
      <w:r w:rsidRPr="00982828">
        <w:rPr>
          <w:rFonts w:ascii="Arial" w:hAnsi="Arial" w:cs="Arial"/>
          <w:color w:val="010000"/>
          <w:sz w:val="20"/>
        </w:rPr>
        <w:t xml:space="preserve"> with the participation of 15 shareholders and shareholder representatives, legally representing 872,210 /1,200,000 voting shares, accounting for 72.68% of the total voting shares. The Meeting was held in accordance with the law and the Charter of </w:t>
      </w:r>
      <w:proofErr w:type="spellStart"/>
      <w:r w:rsidRPr="00982828">
        <w:rPr>
          <w:rFonts w:ascii="Arial" w:hAnsi="Arial" w:cs="Arial"/>
          <w:color w:val="010000"/>
          <w:sz w:val="20"/>
        </w:rPr>
        <w:t>Portserco</w:t>
      </w:r>
      <w:proofErr w:type="spellEnd"/>
      <w:r w:rsidRPr="00982828">
        <w:rPr>
          <w:rFonts w:ascii="Arial" w:hAnsi="Arial" w:cs="Arial"/>
          <w:color w:val="010000"/>
          <w:sz w:val="20"/>
        </w:rPr>
        <w:t xml:space="preserve"> JSC.</w:t>
      </w:r>
    </w:p>
    <w:p w14:paraId="00000005" w14:textId="77777777" w:rsidR="001F5CDE" w:rsidRPr="00982828" w:rsidRDefault="00810BF8" w:rsidP="0008176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2828">
        <w:rPr>
          <w:rFonts w:ascii="Arial" w:hAnsi="Arial" w:cs="Arial"/>
          <w:color w:val="010000"/>
          <w:sz w:val="20"/>
        </w:rPr>
        <w:t>Article 2: The Meeting approved the following documents:</w:t>
      </w:r>
    </w:p>
    <w:p w14:paraId="00000006" w14:textId="77777777" w:rsidR="001F5CDE" w:rsidRPr="00982828" w:rsidRDefault="00810BF8" w:rsidP="000817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2828">
        <w:rPr>
          <w:rFonts w:ascii="Arial" w:hAnsi="Arial" w:cs="Arial"/>
          <w:color w:val="010000"/>
          <w:sz w:val="20"/>
        </w:rPr>
        <w:t>Business results in 2023:</w:t>
      </w:r>
    </w:p>
    <w:p w14:paraId="00000007" w14:textId="77777777" w:rsidR="001F5CDE" w:rsidRPr="00982828" w:rsidRDefault="00810BF8" w:rsidP="000817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2828">
        <w:rPr>
          <w:rFonts w:ascii="Arial" w:hAnsi="Arial" w:cs="Arial"/>
          <w:color w:val="010000"/>
          <w:sz w:val="20"/>
        </w:rPr>
        <w:t>Net revenue: VND 100,898,749,027</w:t>
      </w:r>
    </w:p>
    <w:p w14:paraId="00000008" w14:textId="77777777" w:rsidR="001F5CDE" w:rsidRPr="00982828" w:rsidRDefault="00810BF8" w:rsidP="000817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2828">
        <w:rPr>
          <w:rFonts w:ascii="Arial" w:hAnsi="Arial" w:cs="Arial"/>
          <w:color w:val="010000"/>
          <w:sz w:val="20"/>
        </w:rPr>
        <w:t>Profit before tax: VND 115,157,995</w:t>
      </w:r>
    </w:p>
    <w:p w14:paraId="00000009" w14:textId="77777777" w:rsidR="001F5CDE" w:rsidRPr="00982828" w:rsidRDefault="00810BF8" w:rsidP="000817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2828">
        <w:rPr>
          <w:rFonts w:ascii="Arial" w:hAnsi="Arial" w:cs="Arial"/>
          <w:color w:val="010000"/>
          <w:sz w:val="20"/>
        </w:rPr>
        <w:t>Profit after tax: VND 115,157,995</w:t>
      </w:r>
    </w:p>
    <w:p w14:paraId="0000000A" w14:textId="77777777" w:rsidR="001F5CDE" w:rsidRPr="00982828" w:rsidRDefault="00810BF8" w:rsidP="000817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2828">
        <w:rPr>
          <w:rFonts w:ascii="Arial" w:hAnsi="Arial" w:cs="Arial"/>
          <w:color w:val="010000"/>
          <w:sz w:val="20"/>
        </w:rPr>
        <w:t>Business plan in 2024 achieves at least:</w:t>
      </w:r>
    </w:p>
    <w:p w14:paraId="0000000B" w14:textId="77777777" w:rsidR="001F5CDE" w:rsidRPr="00982828" w:rsidRDefault="00810BF8" w:rsidP="000817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7"/>
          <w:tab w:val="left" w:pos="43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2828">
        <w:rPr>
          <w:rFonts w:ascii="Arial" w:hAnsi="Arial" w:cs="Arial"/>
          <w:color w:val="010000"/>
          <w:sz w:val="20"/>
        </w:rPr>
        <w:t>Net revenue: VND 97,500,000,000</w:t>
      </w:r>
    </w:p>
    <w:p w14:paraId="0000000C" w14:textId="77777777" w:rsidR="001F5CDE" w:rsidRPr="00982828" w:rsidRDefault="00810BF8" w:rsidP="000817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7"/>
          <w:tab w:val="left" w:pos="46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2828">
        <w:rPr>
          <w:rFonts w:ascii="Arial" w:hAnsi="Arial" w:cs="Arial"/>
          <w:color w:val="010000"/>
          <w:sz w:val="20"/>
        </w:rPr>
        <w:t>Profit before tax: VND 600,000,000</w:t>
      </w:r>
    </w:p>
    <w:p w14:paraId="0000000D" w14:textId="77777777" w:rsidR="001F5CDE" w:rsidRPr="00982828" w:rsidRDefault="00810BF8" w:rsidP="000817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2828">
        <w:rPr>
          <w:rFonts w:ascii="Arial" w:hAnsi="Arial" w:cs="Arial"/>
          <w:color w:val="010000"/>
          <w:sz w:val="20"/>
        </w:rPr>
        <w:t>Report on the work of the Board of Directors in 2023 &amp; term V; Operational Direction for term VI.</w:t>
      </w:r>
    </w:p>
    <w:p w14:paraId="0000000E" w14:textId="77777777" w:rsidR="001F5CDE" w:rsidRPr="00982828" w:rsidRDefault="00810BF8" w:rsidP="000817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2828">
        <w:rPr>
          <w:rFonts w:ascii="Arial" w:hAnsi="Arial" w:cs="Arial"/>
          <w:color w:val="010000"/>
          <w:sz w:val="20"/>
        </w:rPr>
        <w:t>Report on activities of the Supervisory Board in 2023 &amp; term V</w:t>
      </w:r>
    </w:p>
    <w:p w14:paraId="0000000F" w14:textId="77777777" w:rsidR="001F5CDE" w:rsidRPr="00982828" w:rsidRDefault="00810BF8" w:rsidP="0008176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2828">
        <w:rPr>
          <w:rFonts w:ascii="Arial" w:hAnsi="Arial" w:cs="Arial"/>
          <w:color w:val="010000"/>
          <w:sz w:val="20"/>
        </w:rPr>
        <w:t>Article 3: The Meeting approved the following Proposals:</w:t>
      </w:r>
    </w:p>
    <w:p w14:paraId="00000010" w14:textId="77777777" w:rsidR="001F5CDE" w:rsidRPr="00982828" w:rsidRDefault="00810BF8" w:rsidP="000817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2828">
        <w:rPr>
          <w:rFonts w:ascii="Arial" w:hAnsi="Arial" w:cs="Arial"/>
          <w:color w:val="010000"/>
          <w:sz w:val="20"/>
        </w:rPr>
        <w:t>Profit distribution plan in 2023, according to which the dividend payment in 2023 was 10% of the total number of shares entitled to dividends according to regulations, corresponding to an amount of VND 1,200,000,000. Date of entitlement to receive dividends in 2023:</w:t>
      </w:r>
    </w:p>
    <w:p w14:paraId="00000011" w14:textId="77777777" w:rsidR="001F5CDE" w:rsidRPr="00982828" w:rsidRDefault="00810BF8" w:rsidP="000817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2828">
        <w:rPr>
          <w:rFonts w:ascii="Arial" w:hAnsi="Arial" w:cs="Arial"/>
          <w:color w:val="010000"/>
          <w:sz w:val="20"/>
        </w:rPr>
        <w:t>Record date to receive dividends: May 23, 2024</w:t>
      </w:r>
    </w:p>
    <w:p w14:paraId="00000012" w14:textId="77777777" w:rsidR="001F5CDE" w:rsidRPr="00982828" w:rsidRDefault="00810BF8" w:rsidP="000817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2828">
        <w:rPr>
          <w:rFonts w:ascii="Arial" w:hAnsi="Arial" w:cs="Arial"/>
          <w:color w:val="010000"/>
          <w:sz w:val="20"/>
        </w:rPr>
        <w:t>Trading days without the right to receive dividends: May 22, 2024</w:t>
      </w:r>
    </w:p>
    <w:p w14:paraId="00000013" w14:textId="77777777" w:rsidR="001F5CDE" w:rsidRPr="00982828" w:rsidRDefault="00810BF8" w:rsidP="000817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2"/>
          <w:tab w:val="left" w:pos="70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2828">
        <w:rPr>
          <w:rFonts w:ascii="Arial" w:hAnsi="Arial" w:cs="Arial"/>
          <w:color w:val="010000"/>
          <w:sz w:val="20"/>
        </w:rPr>
        <w:t>Dividend payment date: June 14, 2024</w:t>
      </w:r>
    </w:p>
    <w:p w14:paraId="00000014" w14:textId="77777777" w:rsidR="001F5CDE" w:rsidRPr="00982828" w:rsidRDefault="00810BF8" w:rsidP="000817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2828">
        <w:rPr>
          <w:rFonts w:ascii="Arial" w:hAnsi="Arial" w:cs="Arial"/>
          <w:color w:val="010000"/>
          <w:sz w:val="20"/>
        </w:rPr>
        <w:t>The Meeting agreed to assign AAC Auditing and Accounting Company Limited to be the audit company for the Company in 2024.</w:t>
      </w:r>
    </w:p>
    <w:p w14:paraId="00000015" w14:textId="02C025E6" w:rsidR="001F5CDE" w:rsidRPr="00982828" w:rsidRDefault="00810BF8" w:rsidP="000817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2828">
        <w:rPr>
          <w:rFonts w:ascii="Arial" w:hAnsi="Arial" w:cs="Arial"/>
          <w:color w:val="010000"/>
          <w:sz w:val="20"/>
        </w:rPr>
        <w:t>The Meeting approved that the remuneration level for members of the Board of Directors and</w:t>
      </w:r>
      <w:r w:rsidR="00982828" w:rsidRPr="00982828">
        <w:rPr>
          <w:rFonts w:ascii="Arial" w:hAnsi="Arial" w:cs="Arial"/>
          <w:color w:val="010000"/>
          <w:sz w:val="20"/>
        </w:rPr>
        <w:t xml:space="preserve"> person in charge of corporate governance</w:t>
      </w:r>
      <w:r w:rsidRPr="00982828">
        <w:rPr>
          <w:rFonts w:ascii="Arial" w:hAnsi="Arial" w:cs="Arial"/>
          <w:color w:val="010000"/>
          <w:sz w:val="20"/>
        </w:rPr>
        <w:t xml:space="preserve"> in 2024 will remain the same as in 2023.</w:t>
      </w:r>
    </w:p>
    <w:p w14:paraId="00000016" w14:textId="77777777" w:rsidR="001F5CDE" w:rsidRPr="00982828" w:rsidRDefault="00810BF8" w:rsidP="000817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2828">
        <w:rPr>
          <w:rFonts w:ascii="Arial" w:hAnsi="Arial" w:cs="Arial"/>
          <w:color w:val="010000"/>
          <w:sz w:val="20"/>
        </w:rPr>
        <w:t>The Meeting approved the ownership rate of foreign investors in the Company to be 49% of the number of outstanding shares.</w:t>
      </w:r>
    </w:p>
    <w:p w14:paraId="00000017" w14:textId="77777777" w:rsidR="001F5CDE" w:rsidRPr="00982828" w:rsidRDefault="00810BF8" w:rsidP="000817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2828">
        <w:rPr>
          <w:rFonts w:ascii="Arial" w:hAnsi="Arial" w:cs="Arial"/>
          <w:color w:val="010000"/>
          <w:sz w:val="20"/>
        </w:rPr>
        <w:t>The Meeting approved the changing of the Company's governance model.</w:t>
      </w:r>
    </w:p>
    <w:p w14:paraId="00000018" w14:textId="77777777" w:rsidR="001F5CDE" w:rsidRPr="00982828" w:rsidRDefault="00810BF8" w:rsidP="0008176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2828">
        <w:rPr>
          <w:rFonts w:ascii="Arial" w:hAnsi="Arial" w:cs="Arial"/>
          <w:color w:val="010000"/>
          <w:sz w:val="20"/>
        </w:rPr>
        <w:lastRenderedPageBreak/>
        <w:t>Article 4: The Meeting approved results of the election of the Board of Directors term VI</w:t>
      </w:r>
    </w:p>
    <w:p w14:paraId="00000019" w14:textId="77777777" w:rsidR="001F5CDE" w:rsidRPr="00982828" w:rsidRDefault="00810BF8" w:rsidP="0008176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2828">
        <w:rPr>
          <w:rFonts w:ascii="Arial" w:hAnsi="Arial" w:cs="Arial"/>
          <w:color w:val="010000"/>
          <w:sz w:val="20"/>
        </w:rPr>
        <w:t>List of members of the Board of Directors term VI (2024-2029)</w:t>
      </w:r>
    </w:p>
    <w:p w14:paraId="0000001A" w14:textId="29803E32" w:rsidR="001F5CDE" w:rsidRPr="00982828" w:rsidRDefault="00810BF8" w:rsidP="000817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17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982828">
        <w:rPr>
          <w:rFonts w:ascii="Arial" w:hAnsi="Arial" w:cs="Arial"/>
          <w:color w:val="010000"/>
          <w:sz w:val="20"/>
        </w:rPr>
        <w:t>Mr</w:t>
      </w:r>
      <w:proofErr w:type="spellEnd"/>
      <w:r w:rsidRPr="00982828">
        <w:rPr>
          <w:rFonts w:ascii="Arial" w:hAnsi="Arial" w:cs="Arial"/>
          <w:color w:val="010000"/>
          <w:sz w:val="20"/>
        </w:rPr>
        <w:t xml:space="preserve">: Nguyen Le Minh </w:t>
      </w:r>
    </w:p>
    <w:p w14:paraId="0000001B" w14:textId="77777777" w:rsidR="001F5CDE" w:rsidRPr="00982828" w:rsidRDefault="00810BF8" w:rsidP="000817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17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982828">
        <w:rPr>
          <w:rFonts w:ascii="Arial" w:hAnsi="Arial" w:cs="Arial"/>
          <w:color w:val="010000"/>
          <w:sz w:val="20"/>
        </w:rPr>
        <w:t>Mr</w:t>
      </w:r>
      <w:proofErr w:type="spellEnd"/>
      <w:r w:rsidRPr="00982828">
        <w:rPr>
          <w:rFonts w:ascii="Arial" w:hAnsi="Arial" w:cs="Arial"/>
          <w:color w:val="010000"/>
          <w:sz w:val="20"/>
        </w:rPr>
        <w:t>: Nguyen Xuan Dung</w:t>
      </w:r>
    </w:p>
    <w:p w14:paraId="0000001C" w14:textId="77777777" w:rsidR="001F5CDE" w:rsidRPr="00982828" w:rsidRDefault="00810BF8" w:rsidP="000817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17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2828">
        <w:rPr>
          <w:rFonts w:ascii="Arial" w:hAnsi="Arial" w:cs="Arial"/>
          <w:color w:val="010000"/>
          <w:sz w:val="20"/>
        </w:rPr>
        <w:t xml:space="preserve">Ms. Nguyen Thi </w:t>
      </w:r>
      <w:proofErr w:type="spellStart"/>
      <w:r w:rsidRPr="00982828">
        <w:rPr>
          <w:rFonts w:ascii="Arial" w:hAnsi="Arial" w:cs="Arial"/>
          <w:color w:val="010000"/>
          <w:sz w:val="20"/>
        </w:rPr>
        <w:t>Tuyet</w:t>
      </w:r>
      <w:proofErr w:type="spellEnd"/>
    </w:p>
    <w:p w14:paraId="0000001D" w14:textId="77777777" w:rsidR="001F5CDE" w:rsidRPr="00982828" w:rsidRDefault="00810BF8" w:rsidP="000817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17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982828">
        <w:rPr>
          <w:rFonts w:ascii="Arial" w:hAnsi="Arial" w:cs="Arial"/>
          <w:color w:val="010000"/>
          <w:sz w:val="20"/>
        </w:rPr>
        <w:t>Mr</w:t>
      </w:r>
      <w:proofErr w:type="spellEnd"/>
      <w:r w:rsidRPr="00982828">
        <w:rPr>
          <w:rFonts w:ascii="Arial" w:hAnsi="Arial" w:cs="Arial"/>
          <w:color w:val="010000"/>
          <w:sz w:val="20"/>
        </w:rPr>
        <w:t>: Le Nam Hung</w:t>
      </w:r>
    </w:p>
    <w:p w14:paraId="0000001E" w14:textId="77777777" w:rsidR="001F5CDE" w:rsidRPr="00982828" w:rsidRDefault="00810BF8" w:rsidP="000817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17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982828">
        <w:rPr>
          <w:rFonts w:ascii="Arial" w:hAnsi="Arial" w:cs="Arial"/>
          <w:color w:val="010000"/>
          <w:sz w:val="20"/>
        </w:rPr>
        <w:t>Mr</w:t>
      </w:r>
      <w:proofErr w:type="spellEnd"/>
      <w:r w:rsidRPr="00982828">
        <w:rPr>
          <w:rFonts w:ascii="Arial" w:hAnsi="Arial" w:cs="Arial"/>
          <w:color w:val="010000"/>
          <w:sz w:val="20"/>
        </w:rPr>
        <w:t xml:space="preserve">: Tran </w:t>
      </w:r>
      <w:proofErr w:type="spellStart"/>
      <w:r w:rsidRPr="00982828">
        <w:rPr>
          <w:rFonts w:ascii="Arial" w:hAnsi="Arial" w:cs="Arial"/>
          <w:color w:val="010000"/>
          <w:sz w:val="20"/>
        </w:rPr>
        <w:t>Quang</w:t>
      </w:r>
      <w:proofErr w:type="spellEnd"/>
      <w:r w:rsidRPr="00982828">
        <w:rPr>
          <w:rFonts w:ascii="Arial" w:hAnsi="Arial" w:cs="Arial"/>
          <w:color w:val="010000"/>
          <w:sz w:val="20"/>
        </w:rPr>
        <w:t xml:space="preserve"> Tuan </w:t>
      </w:r>
    </w:p>
    <w:p w14:paraId="0000001F" w14:textId="02CA6C66" w:rsidR="001F5CDE" w:rsidRPr="00982828" w:rsidRDefault="00810BF8" w:rsidP="0008176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2828">
        <w:rPr>
          <w:rFonts w:ascii="Arial" w:hAnsi="Arial" w:cs="Arial"/>
          <w:color w:val="010000"/>
          <w:sz w:val="20"/>
        </w:rPr>
        <w:t xml:space="preserve">Article 5: The full text of this General Mandate was approved by the General Meeting of Shareholders of </w:t>
      </w:r>
      <w:proofErr w:type="spellStart"/>
      <w:r w:rsidRPr="00982828">
        <w:rPr>
          <w:rFonts w:ascii="Arial" w:hAnsi="Arial" w:cs="Arial"/>
          <w:color w:val="010000"/>
          <w:sz w:val="20"/>
        </w:rPr>
        <w:t>Portserco</w:t>
      </w:r>
      <w:proofErr w:type="spellEnd"/>
      <w:r w:rsidRPr="00982828">
        <w:rPr>
          <w:rFonts w:ascii="Arial" w:hAnsi="Arial" w:cs="Arial"/>
          <w:color w:val="010000"/>
          <w:sz w:val="20"/>
        </w:rPr>
        <w:t xml:space="preserve"> JSC in 2024.</w:t>
      </w:r>
    </w:p>
    <w:p w14:paraId="00000020" w14:textId="2AAD3E74" w:rsidR="001F5CDE" w:rsidRPr="00982828" w:rsidRDefault="00810BF8" w:rsidP="0008176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2828">
        <w:rPr>
          <w:rFonts w:ascii="Arial" w:hAnsi="Arial" w:cs="Arial"/>
          <w:color w:val="010000"/>
          <w:sz w:val="20"/>
        </w:rPr>
        <w:t xml:space="preserve">The Meeting agreed to assign the Board of Directors of the Company to deploy and implement most effectively </w:t>
      </w:r>
      <w:r w:rsidR="00982828" w:rsidRPr="00982828">
        <w:rPr>
          <w:rFonts w:ascii="Arial" w:hAnsi="Arial" w:cs="Arial"/>
          <w:color w:val="010000"/>
          <w:sz w:val="20"/>
        </w:rPr>
        <w:t xml:space="preserve">the </w:t>
      </w:r>
      <w:r w:rsidRPr="00982828">
        <w:rPr>
          <w:rFonts w:ascii="Arial" w:hAnsi="Arial" w:cs="Arial"/>
          <w:color w:val="010000"/>
          <w:sz w:val="20"/>
        </w:rPr>
        <w:t>contents stated in this General Mandate in accordance with the provisions of the Company's Charter and law.</w:t>
      </w:r>
      <w:bookmarkEnd w:id="0"/>
    </w:p>
    <w:sectPr w:rsidR="001F5CDE" w:rsidRPr="00982828" w:rsidSect="00810BF8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B1C9D"/>
    <w:multiLevelType w:val="multilevel"/>
    <w:tmpl w:val="E93E7BFE"/>
    <w:lvl w:ilvl="0">
      <w:start w:val="2"/>
      <w:numFmt w:val="decimal"/>
      <w:lvlText w:val="%1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0215085"/>
    <w:multiLevelType w:val="multilevel"/>
    <w:tmpl w:val="9A68F2D4"/>
    <w:lvl w:ilvl="0">
      <w:start w:val="1"/>
      <w:numFmt w:val="decimal"/>
      <w:lvlText w:val="%1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32583"/>
    <w:multiLevelType w:val="multilevel"/>
    <w:tmpl w:val="721E5762"/>
    <w:lvl w:ilvl="0">
      <w:start w:val="1"/>
      <w:numFmt w:val="decimal"/>
      <w:lvlText w:val="%1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F7785"/>
    <w:multiLevelType w:val="multilevel"/>
    <w:tmpl w:val="02688D5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F203424"/>
    <w:multiLevelType w:val="multilevel"/>
    <w:tmpl w:val="F4F8500C"/>
    <w:lvl w:ilvl="0">
      <w:start w:val="1"/>
      <w:numFmt w:val="bullet"/>
      <w:lvlText w:val="-"/>
      <w:lvlJc w:val="left"/>
      <w:pPr>
        <w:ind w:left="11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8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5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32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DE"/>
    <w:rsid w:val="0008176F"/>
    <w:rsid w:val="001F5CDE"/>
    <w:rsid w:val="00810BF8"/>
    <w:rsid w:val="0098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20F7A9"/>
  <w15:docId w15:val="{EEA28585-49D2-4419-B5A4-2FBB23D4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E2576A"/>
      <w:sz w:val="18"/>
      <w:szCs w:val="1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Verdana" w:eastAsia="Verdana" w:hAnsi="Verdana" w:cs="Verdana"/>
      <w:b/>
      <w:bCs/>
      <w:i w:val="0"/>
      <w:iCs w:val="0"/>
      <w:smallCaps w:val="0"/>
      <w:strike w:val="0"/>
      <w:color w:val="E2576A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/>
      <w:iCs/>
      <w:smallCaps w:val="0"/>
      <w:strike w:val="0"/>
      <w:color w:val="E2576A"/>
      <w:w w:val="60"/>
      <w:sz w:val="22"/>
      <w:szCs w:val="2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0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b/>
      <w:bCs/>
      <w:color w:val="E2576A"/>
      <w:sz w:val="18"/>
      <w:szCs w:val="18"/>
    </w:rPr>
  </w:style>
  <w:style w:type="paragraph" w:customStyle="1" w:styleId="Heading11">
    <w:name w:val="Heading #1"/>
    <w:basedOn w:val="Normal"/>
    <w:link w:val="Heading10"/>
    <w:pPr>
      <w:spacing w:line="192" w:lineRule="auto"/>
      <w:jc w:val="center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50">
    <w:name w:val="Body text (5)"/>
    <w:basedOn w:val="Normal"/>
    <w:link w:val="Bodytext5"/>
    <w:pPr>
      <w:jc w:val="right"/>
    </w:pPr>
    <w:rPr>
      <w:rFonts w:ascii="Verdana" w:eastAsia="Verdana" w:hAnsi="Verdana" w:cs="Verdana"/>
      <w:b/>
      <w:bCs/>
      <w:color w:val="E2576A"/>
      <w:sz w:val="16"/>
      <w:szCs w:val="16"/>
    </w:rPr>
  </w:style>
  <w:style w:type="paragraph" w:customStyle="1" w:styleId="Bodytext40">
    <w:name w:val="Body text (4)"/>
    <w:basedOn w:val="Normal"/>
    <w:link w:val="Bodytext4"/>
    <w:pPr>
      <w:jc w:val="right"/>
    </w:pPr>
    <w:rPr>
      <w:rFonts w:ascii="Arial" w:eastAsia="Arial" w:hAnsi="Arial" w:cs="Arial"/>
      <w:b/>
      <w:bCs/>
      <w:i/>
      <w:iCs/>
      <w:color w:val="E2576A"/>
      <w:w w:val="60"/>
      <w:sz w:val="22"/>
      <w:szCs w:val="22"/>
    </w:rPr>
  </w:style>
  <w:style w:type="paragraph" w:customStyle="1" w:styleId="Tablecaption0">
    <w:name w:val="Table caption"/>
    <w:basedOn w:val="Normal"/>
    <w:link w:val="Tablecaption"/>
    <w:pPr>
      <w:ind w:firstLine="6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pPr>
      <w:spacing w:line="30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ind w:firstLine="14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n/YZ4rJoFPFSjuNk66Gpr5tpfA==">CgMxLjA4AHIhMWlFWGl6ZHIzMWVod0FKRDZIRzlEbk1vUmMtdXJWVG10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2024-04-23T04:13:00Z</dcterms:created>
  <dcterms:modified xsi:type="dcterms:W3CDTF">2024-04-25T09:42:00Z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39ab41e9624f91e41361299a93099831483d4d451cd3fd27849f0f716b3cb952</vt:lpwstr>
  </property>
</Properties>
</file>