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1DC3" w14:textId="77777777" w:rsidR="00C35286" w:rsidRPr="00225261" w:rsidRDefault="00EB071C" w:rsidP="00EB071C">
      <w:pP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25261">
        <w:rPr>
          <w:rFonts w:ascii="Arial" w:hAnsi="Arial" w:cs="Arial"/>
          <w:b/>
          <w:color w:val="010000"/>
          <w:sz w:val="20"/>
        </w:rPr>
        <w:t xml:space="preserve">TBX: Annual General Mandate 2024 </w:t>
      </w:r>
    </w:p>
    <w:p w14:paraId="0DB6B545" w14:textId="77777777" w:rsidR="00C35286" w:rsidRPr="00225261" w:rsidRDefault="00EB071C" w:rsidP="00EB071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 xml:space="preserve">On April 17, 2024, Thai </w:t>
      </w:r>
      <w:proofErr w:type="spellStart"/>
      <w:r w:rsidRPr="00225261">
        <w:rPr>
          <w:rFonts w:ascii="Arial" w:hAnsi="Arial" w:cs="Arial"/>
          <w:color w:val="010000"/>
          <w:sz w:val="20"/>
        </w:rPr>
        <w:t>Binh</w:t>
      </w:r>
      <w:proofErr w:type="spellEnd"/>
      <w:r w:rsidRPr="00225261">
        <w:rPr>
          <w:rFonts w:ascii="Arial" w:hAnsi="Arial" w:cs="Arial"/>
          <w:color w:val="010000"/>
          <w:sz w:val="20"/>
        </w:rPr>
        <w:t xml:space="preserve"> Cement JSC announced General Mandate No. 01/NQ-DHDCD 2024 as follows:</w:t>
      </w:r>
    </w:p>
    <w:p w14:paraId="3554D7C2" w14:textId="77777777" w:rsidR="00C35286" w:rsidRPr="00225261" w:rsidRDefault="00EB071C" w:rsidP="00EB071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 xml:space="preserve">Article 1: The Annual General Meeting of Shareholders of Thai </w:t>
      </w:r>
      <w:proofErr w:type="spellStart"/>
      <w:r w:rsidRPr="00225261">
        <w:rPr>
          <w:rFonts w:ascii="Arial" w:hAnsi="Arial" w:cs="Arial"/>
          <w:color w:val="010000"/>
          <w:sz w:val="20"/>
        </w:rPr>
        <w:t>Binh</w:t>
      </w:r>
      <w:proofErr w:type="spellEnd"/>
      <w:r w:rsidRPr="00225261">
        <w:rPr>
          <w:rFonts w:ascii="Arial" w:hAnsi="Arial" w:cs="Arial"/>
          <w:color w:val="010000"/>
          <w:sz w:val="20"/>
        </w:rPr>
        <w:t xml:space="preserve"> Cement JSC 2024 approves the following Reports and Proposals:</w:t>
      </w:r>
    </w:p>
    <w:p w14:paraId="12E5F017" w14:textId="77777777" w:rsidR="00C35286" w:rsidRPr="00225261" w:rsidRDefault="00EB071C" w:rsidP="00EB0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Report on activities of the Board of Directors and the Board of Management in 2023 and orientation in 2024.</w:t>
      </w:r>
    </w:p>
    <w:p w14:paraId="1A386831" w14:textId="77777777" w:rsidR="00C35286" w:rsidRPr="00225261" w:rsidRDefault="00EB071C" w:rsidP="00EB071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6"/>
        <w:gridCol w:w="2840"/>
        <w:gridCol w:w="826"/>
        <w:gridCol w:w="1668"/>
        <w:gridCol w:w="1673"/>
        <w:gridCol w:w="1423"/>
      </w:tblGrid>
      <w:tr w:rsidR="00C35286" w:rsidRPr="00225261" w14:paraId="39286010" w14:textId="77777777" w:rsidTr="00EB071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1DE5F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C8953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D1271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93D76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7AB7D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AA92A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Exercise rate in 2023 (%)</w:t>
            </w:r>
          </w:p>
        </w:tc>
      </w:tr>
      <w:tr w:rsidR="00C35286" w:rsidRPr="00225261" w14:paraId="63B7CE7A" w14:textId="77777777" w:rsidTr="00EB071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A1B4E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662D8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Total output: Production of</w:t>
            </w:r>
          </w:p>
          <w:p w14:paraId="643AB456" w14:textId="77777777" w:rsidR="00C35286" w:rsidRPr="00225261" w:rsidRDefault="00EB071C" w:rsidP="00EB07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Clinker</w:t>
            </w:r>
          </w:p>
          <w:p w14:paraId="3B25261B" w14:textId="77777777" w:rsidR="00C35286" w:rsidRPr="00225261" w:rsidRDefault="00EB071C" w:rsidP="00EB07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Cement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3A2A4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33656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20,000</w:t>
            </w:r>
          </w:p>
          <w:p w14:paraId="5B784307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7,000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04FD1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18,900</w:t>
            </w:r>
          </w:p>
          <w:p w14:paraId="19F2CA76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4,678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4DD9ED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94.5%</w:t>
            </w:r>
          </w:p>
          <w:p w14:paraId="4FAE1065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66.8%</w:t>
            </w:r>
          </w:p>
        </w:tc>
      </w:tr>
      <w:tr w:rsidR="00C35286" w:rsidRPr="00225261" w14:paraId="5E2530A6" w14:textId="77777777" w:rsidTr="00EB071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90BB8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34CD0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Consumption of</w:t>
            </w:r>
          </w:p>
          <w:p w14:paraId="2A669F88" w14:textId="77777777" w:rsidR="00C35286" w:rsidRPr="00225261" w:rsidRDefault="00EB071C" w:rsidP="00EB07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Cement</w:t>
            </w:r>
          </w:p>
          <w:p w14:paraId="3E02E153" w14:textId="77777777" w:rsidR="00C35286" w:rsidRPr="00225261" w:rsidRDefault="00EB071C" w:rsidP="00EB07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Clinker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AFA7B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8058A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7,000</w:t>
            </w:r>
          </w:p>
          <w:p w14:paraId="6BB97C8F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20,000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C7CB3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4,590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8B785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65.5%</w:t>
            </w:r>
          </w:p>
        </w:tc>
      </w:tr>
      <w:tr w:rsidR="00C35286" w:rsidRPr="00225261" w14:paraId="22982FAF" w14:textId="77777777" w:rsidTr="00EB071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82725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2A449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5694C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56E36" w14:textId="1F0BAE42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1F325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18.2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9B101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91.2%</w:t>
            </w:r>
          </w:p>
        </w:tc>
      </w:tr>
      <w:tr w:rsidR="00C35286" w:rsidRPr="00225261" w14:paraId="0667D4DD" w14:textId="77777777" w:rsidTr="00EB071C">
        <w:tc>
          <w:tcPr>
            <w:tcW w:w="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A0884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595C8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Profit before tax:</w:t>
            </w:r>
          </w:p>
        </w:tc>
        <w:tc>
          <w:tcPr>
            <w:tcW w:w="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FEDB9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FCAC5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2A514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3F556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85DD5FC" w14:textId="77777777" w:rsidR="00C35286" w:rsidRPr="00225261" w:rsidRDefault="00EB071C" w:rsidP="00EB071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Production and business plan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4"/>
        <w:gridCol w:w="3812"/>
        <w:gridCol w:w="1477"/>
        <w:gridCol w:w="2863"/>
      </w:tblGrid>
      <w:tr w:rsidR="00C35286" w:rsidRPr="00225261" w14:paraId="3BF2D740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70B20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297A7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0B104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3CE00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C35286" w:rsidRPr="00225261" w14:paraId="7A0AF334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898D3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BCA0C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2D758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C3285" w14:textId="77777777" w:rsidR="00C35286" w:rsidRPr="00225261" w:rsidRDefault="00EB071C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</w:tr>
      <w:tr w:rsidR="00C35286" w:rsidRPr="00225261" w14:paraId="181B2CBB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0F865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600C0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Product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79938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DE086" w14:textId="77777777" w:rsidR="00C35286" w:rsidRPr="00225261" w:rsidRDefault="00C35286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5286" w:rsidRPr="00225261" w14:paraId="538B7354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FB050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BD79C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White cement grinding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B60C0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80DD" w14:textId="77777777" w:rsidR="00C35286" w:rsidRPr="00225261" w:rsidRDefault="00EB071C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</w:tr>
      <w:tr w:rsidR="00C35286" w:rsidRPr="00225261" w14:paraId="4DE0F09E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43D93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B0500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Consumption of white cement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B8740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06935" w14:textId="77777777" w:rsidR="00C35286" w:rsidRPr="00225261" w:rsidRDefault="00EB071C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12,000</w:t>
            </w:r>
          </w:p>
        </w:tc>
      </w:tr>
      <w:tr w:rsidR="00C35286" w:rsidRPr="00225261" w14:paraId="6A07AF91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BB97C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ACF4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Clinker smelting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2DD7D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7DDE0" w14:textId="77777777" w:rsidR="00C35286" w:rsidRPr="00225261" w:rsidRDefault="00EB071C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15,000</w:t>
            </w:r>
          </w:p>
        </w:tc>
      </w:tr>
      <w:tr w:rsidR="00C35286" w:rsidRPr="00225261" w14:paraId="1A73FBBA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73BAC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901D7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Average income: VND/person/month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84C1A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C67B8" w14:textId="77777777" w:rsidR="00C35286" w:rsidRPr="00225261" w:rsidRDefault="00EB071C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7.5 million</w:t>
            </w:r>
          </w:p>
        </w:tc>
      </w:tr>
      <w:tr w:rsidR="00C35286" w:rsidRPr="00225261" w14:paraId="59A1AFCB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CC80A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30DB0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0DBB4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935CB" w14:textId="77777777" w:rsidR="00C35286" w:rsidRPr="00225261" w:rsidRDefault="00EB071C" w:rsidP="00EB071C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500 million</w:t>
            </w:r>
          </w:p>
        </w:tc>
      </w:tr>
      <w:tr w:rsidR="00C35286" w:rsidRPr="00225261" w14:paraId="19044BC9" w14:textId="77777777" w:rsidTr="00EB071C">
        <w:tc>
          <w:tcPr>
            <w:tcW w:w="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1F31D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1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85662" w14:textId="77777777" w:rsidR="00C35286" w:rsidRPr="00225261" w:rsidRDefault="00EB071C" w:rsidP="00EB071C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8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6C5F1" w14:textId="77777777" w:rsidR="00C35286" w:rsidRPr="00225261" w:rsidRDefault="00EB071C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25261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5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48E4F" w14:textId="77777777" w:rsidR="00C35286" w:rsidRPr="00225261" w:rsidRDefault="00C35286" w:rsidP="00EB071C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4DC24C0" w14:textId="77777777" w:rsidR="00C35286" w:rsidRPr="00225261" w:rsidRDefault="00EB071C" w:rsidP="0048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Financial Statements 2023</w:t>
      </w:r>
    </w:p>
    <w:p w14:paraId="1C7AC593" w14:textId="77777777" w:rsidR="00C35286" w:rsidRPr="00225261" w:rsidRDefault="00EB071C" w:rsidP="0048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lastRenderedPageBreak/>
        <w:t>Report of the Supervisory Board in 2023</w:t>
      </w:r>
    </w:p>
    <w:p w14:paraId="2CFA5A7E" w14:textId="77777777" w:rsidR="00C35286" w:rsidRPr="00225261" w:rsidRDefault="00EB071C" w:rsidP="0048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Proposal on selecting an audit company for the fiscal year 2024</w:t>
      </w:r>
    </w:p>
    <w:p w14:paraId="1B6E4F32" w14:textId="77777777" w:rsidR="00C35286" w:rsidRPr="00225261" w:rsidRDefault="00EB071C" w:rsidP="0048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Report on remuneration for the Board of Directors and the Supervisory Board in 2023</w:t>
      </w:r>
    </w:p>
    <w:p w14:paraId="71E0E636" w14:textId="77777777" w:rsidR="00C35286" w:rsidRPr="00225261" w:rsidRDefault="00EB071C" w:rsidP="00485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Proposal on remuneration settlement plan for the Board of Directors and the Supervisory Board in 2024</w:t>
      </w:r>
    </w:p>
    <w:p w14:paraId="5BEC9688" w14:textId="17292ECC" w:rsidR="00C35286" w:rsidRPr="00225261" w:rsidRDefault="00EB071C" w:rsidP="00485A1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 xml:space="preserve">Article 2: The Annual General Meeting 2024 assigns the Executive Board of Directors and the Board of Management to organize the implementation of the above contents </w:t>
      </w:r>
      <w:r w:rsidR="00485A1C">
        <w:rPr>
          <w:rFonts w:ascii="Arial" w:hAnsi="Arial" w:cs="Arial"/>
          <w:color w:val="010000"/>
          <w:sz w:val="20"/>
        </w:rPr>
        <w:t>under applicable laws</w:t>
      </w:r>
      <w:r w:rsidRPr="00225261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1E57D56C" w14:textId="2CEA8C28" w:rsidR="00C35286" w:rsidRPr="00225261" w:rsidRDefault="00EB071C" w:rsidP="00485A1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261">
        <w:rPr>
          <w:rFonts w:ascii="Arial" w:hAnsi="Arial" w:cs="Arial"/>
          <w:color w:val="010000"/>
          <w:sz w:val="20"/>
        </w:rPr>
        <w:t>Article 3: This General Mandate takes effect from April 17, 2024</w:t>
      </w:r>
      <w:r w:rsidR="00225261">
        <w:rPr>
          <w:rFonts w:ascii="Arial" w:hAnsi="Arial" w:cs="Arial"/>
          <w:color w:val="010000"/>
          <w:sz w:val="20"/>
        </w:rPr>
        <w:t>.</w:t>
      </w:r>
      <w:r w:rsidRPr="00225261">
        <w:rPr>
          <w:rFonts w:ascii="Arial" w:hAnsi="Arial" w:cs="Arial"/>
          <w:color w:val="010000"/>
          <w:sz w:val="20"/>
        </w:rPr>
        <w:t xml:space="preserve"> The Board of Directors, </w:t>
      </w:r>
      <w:r w:rsidR="00485A1C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225261">
        <w:rPr>
          <w:rFonts w:ascii="Arial" w:hAnsi="Arial" w:cs="Arial"/>
          <w:color w:val="010000"/>
          <w:sz w:val="20"/>
        </w:rPr>
        <w:t xml:space="preserve"> and departments of the Company are responsible for the implementation of this </w:t>
      </w:r>
      <w:r w:rsidR="00225261">
        <w:rPr>
          <w:rFonts w:ascii="Arial" w:hAnsi="Arial" w:cs="Arial"/>
          <w:color w:val="010000"/>
          <w:sz w:val="20"/>
        </w:rPr>
        <w:t>General</w:t>
      </w:r>
      <w:r w:rsidRPr="00225261">
        <w:rPr>
          <w:rFonts w:ascii="Arial" w:hAnsi="Arial" w:cs="Arial"/>
          <w:color w:val="010000"/>
          <w:sz w:val="20"/>
        </w:rPr>
        <w:t xml:space="preserve"> Mandate.</w:t>
      </w:r>
    </w:p>
    <w:sectPr w:rsidR="00C35286" w:rsidRPr="00225261" w:rsidSect="00EB071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CF4"/>
    <w:multiLevelType w:val="multilevel"/>
    <w:tmpl w:val="3DB6CD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162788"/>
    <w:multiLevelType w:val="multilevel"/>
    <w:tmpl w:val="8C9EFF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752729"/>
    <w:multiLevelType w:val="multilevel"/>
    <w:tmpl w:val="08643368"/>
    <w:lvl w:ilvl="0">
      <w:start w:val="1"/>
      <w:numFmt w:val="decimal"/>
      <w:lvlText w:val="%1-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86"/>
    <w:rsid w:val="00225261"/>
    <w:rsid w:val="00485A1C"/>
    <w:rsid w:val="00C35286"/>
    <w:rsid w:val="00E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FDE11"/>
  <w15:docId w15:val="{BDA48CE2-C8D2-4762-9071-F34B7FE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1924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78199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1924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1924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/>
      <w:iCs/>
      <w:smallCaps w:val="0"/>
      <w:strike w:val="0"/>
      <w:color w:val="0C1924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color w:val="0C1924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317" w:lineRule="auto"/>
      <w:ind w:left="660" w:firstLine="40"/>
    </w:pPr>
    <w:rPr>
      <w:rFonts w:ascii="Arial" w:eastAsia="Arial" w:hAnsi="Arial" w:cs="Arial"/>
      <w:color w:val="C78199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ind w:firstLine="9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hthchbng0">
    <w:name w:val="Chú thích bảng"/>
    <w:basedOn w:val="Normal"/>
    <w:link w:val="Chthchbng"/>
    <w:pPr>
      <w:spacing w:line="259" w:lineRule="auto"/>
      <w:ind w:firstLine="350"/>
    </w:pPr>
    <w:rPr>
      <w:rFonts w:ascii="Times New Roman" w:eastAsia="Times New Roman" w:hAnsi="Times New Roman" w:cs="Times New Roman"/>
      <w:color w:val="0C1924"/>
      <w:sz w:val="26"/>
      <w:szCs w:val="26"/>
    </w:rPr>
  </w:style>
  <w:style w:type="paragraph" w:customStyle="1" w:styleId="Khc0">
    <w:name w:val="Khác"/>
    <w:basedOn w:val="Normal"/>
    <w:link w:val="Khc"/>
    <w:pPr>
      <w:spacing w:line="262" w:lineRule="auto"/>
      <w:ind w:firstLine="400"/>
    </w:pPr>
    <w:rPr>
      <w:rFonts w:ascii="Times New Roman" w:eastAsia="Times New Roman" w:hAnsi="Times New Roman" w:cs="Times New Roman"/>
      <w:color w:val="0C1924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2" w:lineRule="auto"/>
      <w:ind w:left="1020" w:firstLine="480"/>
      <w:outlineLvl w:val="0"/>
    </w:pPr>
    <w:rPr>
      <w:rFonts w:ascii="Times New Roman" w:eastAsia="Times New Roman" w:hAnsi="Times New Roman" w:cs="Times New Roman"/>
      <w:b/>
      <w:bCs/>
      <w:i/>
      <w:iCs/>
      <w:color w:val="0C1924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58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beJJBCY0mbZ7OQ8e0VjYnJYUyg==">CgMxLjA4AHIhMUk5d3IzSXVXM1A0NTR4T2FCZ2o0SXk1NG9LclpIOXR1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2024-04-25T03:25:00Z</dcterms:created>
  <dcterms:modified xsi:type="dcterms:W3CDTF">2024-04-25T03:25:00Z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550fc2d5b0d49038f4f437dfe586c5b8de2814d4ce507e582719296dbb97bd2e</vt:lpwstr>
  </property>
</Properties>
</file>