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91F8F" w14:textId="77777777" w:rsidR="009353D9" w:rsidRPr="0021749F" w:rsidRDefault="0021749F" w:rsidP="001133B7">
      <w:pPr>
        <w:tabs>
          <w:tab w:val="left" w:pos="432"/>
        </w:tabs>
        <w:spacing w:after="120" w:line="360" w:lineRule="auto"/>
        <w:jc w:val="both"/>
        <w:rPr>
          <w:rFonts w:ascii="Arial" w:eastAsia="Arial" w:hAnsi="Arial" w:cs="Arial"/>
          <w:b/>
          <w:color w:val="auto"/>
          <w:sz w:val="20"/>
          <w:szCs w:val="20"/>
        </w:rPr>
      </w:pPr>
      <w:r w:rsidRPr="0021749F">
        <w:rPr>
          <w:rFonts w:ascii="Arial" w:hAnsi="Arial"/>
          <w:b/>
          <w:color w:val="auto"/>
          <w:sz w:val="20"/>
        </w:rPr>
        <w:t>TQW: Annual General Mandate 2024</w:t>
      </w:r>
    </w:p>
    <w:p w14:paraId="131C76DC" w14:textId="77777777" w:rsidR="009353D9" w:rsidRPr="0021749F" w:rsidRDefault="0021749F" w:rsidP="001133B7">
      <w:pP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On April 19, 2024, Tuyen Quang Water Supply and Sewerage Joint Stock Company announced General Mandate No. 31/NQ-DHDCD as follows:</w:t>
      </w:r>
    </w:p>
    <w:p w14:paraId="46089B75" w14:textId="77777777" w:rsidR="009353D9" w:rsidRPr="0021749F" w:rsidRDefault="0021749F" w:rsidP="001133B7">
      <w:pP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 xml:space="preserve">Article 1: Approve the Report of the Board of Directors on the production and business results in 2023; orientation and tasks for 2024 of Tuyen Quang Water Supply and Sewerage Joint Stock Company. </w:t>
      </w:r>
    </w:p>
    <w:p w14:paraId="5340A08F" w14:textId="77777777" w:rsidR="009353D9" w:rsidRPr="0021749F" w:rsidRDefault="0021749F" w:rsidP="001133B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auto"/>
          <w:sz w:val="20"/>
          <w:szCs w:val="20"/>
        </w:rPr>
      </w:pPr>
      <w:r w:rsidRPr="0021749F">
        <w:rPr>
          <w:rFonts w:ascii="Arial" w:hAnsi="Arial"/>
          <w:color w:val="auto"/>
          <w:sz w:val="20"/>
        </w:rPr>
        <w:t xml:space="preserve">Production and business results in 2023: </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2442"/>
        <w:gridCol w:w="977"/>
        <w:gridCol w:w="1008"/>
        <w:gridCol w:w="119"/>
        <w:gridCol w:w="1235"/>
        <w:gridCol w:w="1062"/>
        <w:gridCol w:w="18"/>
        <w:gridCol w:w="1133"/>
      </w:tblGrid>
      <w:tr w:rsidR="0021749F" w:rsidRPr="0021749F" w14:paraId="29F7B37E" w14:textId="77777777">
        <w:tc>
          <w:tcPr>
            <w:tcW w:w="1023" w:type="dxa"/>
            <w:vMerge w:val="restart"/>
            <w:shd w:val="clear" w:color="auto" w:fill="auto"/>
            <w:tcMar>
              <w:top w:w="0" w:type="dxa"/>
              <w:bottom w:w="0" w:type="dxa"/>
            </w:tcMar>
            <w:vAlign w:val="center"/>
          </w:tcPr>
          <w:p w14:paraId="715C6B9B"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No.</w:t>
            </w:r>
          </w:p>
        </w:tc>
        <w:tc>
          <w:tcPr>
            <w:tcW w:w="2442" w:type="dxa"/>
            <w:vMerge w:val="restart"/>
            <w:shd w:val="clear" w:color="auto" w:fill="auto"/>
            <w:tcMar>
              <w:top w:w="0" w:type="dxa"/>
              <w:bottom w:w="0" w:type="dxa"/>
            </w:tcMar>
            <w:vAlign w:val="center"/>
          </w:tcPr>
          <w:p w14:paraId="01991B7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Targets</w:t>
            </w:r>
          </w:p>
        </w:tc>
        <w:tc>
          <w:tcPr>
            <w:tcW w:w="977" w:type="dxa"/>
            <w:vMerge w:val="restart"/>
            <w:shd w:val="clear" w:color="auto" w:fill="auto"/>
            <w:tcMar>
              <w:top w:w="0" w:type="dxa"/>
              <w:bottom w:w="0" w:type="dxa"/>
            </w:tcMar>
            <w:vAlign w:val="center"/>
          </w:tcPr>
          <w:p w14:paraId="69BF44F9"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Unit</w:t>
            </w:r>
          </w:p>
        </w:tc>
        <w:tc>
          <w:tcPr>
            <w:tcW w:w="2362" w:type="dxa"/>
            <w:gridSpan w:val="3"/>
            <w:shd w:val="clear" w:color="auto" w:fill="auto"/>
            <w:tcMar>
              <w:top w:w="0" w:type="dxa"/>
              <w:bottom w:w="0" w:type="dxa"/>
            </w:tcMar>
            <w:vAlign w:val="center"/>
          </w:tcPr>
          <w:p w14:paraId="69C5ECC2"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In 2023</w:t>
            </w:r>
          </w:p>
        </w:tc>
        <w:tc>
          <w:tcPr>
            <w:tcW w:w="2213" w:type="dxa"/>
            <w:gridSpan w:val="3"/>
            <w:shd w:val="clear" w:color="auto" w:fill="auto"/>
            <w:tcMar>
              <w:top w:w="0" w:type="dxa"/>
              <w:bottom w:w="0" w:type="dxa"/>
            </w:tcMar>
            <w:vAlign w:val="center"/>
          </w:tcPr>
          <w:p w14:paraId="6918ADC8" w14:textId="77777777" w:rsidR="009353D9" w:rsidRPr="0021749F" w:rsidRDefault="009353D9"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p>
          <w:p w14:paraId="72CFD3A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Comparison rate (%)</w:t>
            </w:r>
          </w:p>
        </w:tc>
      </w:tr>
      <w:tr w:rsidR="0021749F" w:rsidRPr="0021749F" w14:paraId="7A60F25A" w14:textId="77777777">
        <w:tc>
          <w:tcPr>
            <w:tcW w:w="1023" w:type="dxa"/>
            <w:vMerge/>
            <w:shd w:val="clear" w:color="auto" w:fill="auto"/>
            <w:tcMar>
              <w:top w:w="0" w:type="dxa"/>
              <w:bottom w:w="0" w:type="dxa"/>
            </w:tcMar>
            <w:vAlign w:val="center"/>
          </w:tcPr>
          <w:p w14:paraId="1EADAC23" w14:textId="77777777" w:rsidR="009353D9" w:rsidRPr="0021749F" w:rsidRDefault="009353D9" w:rsidP="001133B7">
            <w:pPr>
              <w:pBdr>
                <w:top w:val="nil"/>
                <w:left w:val="nil"/>
                <w:bottom w:val="nil"/>
                <w:right w:val="nil"/>
                <w:between w:val="nil"/>
              </w:pBdr>
              <w:spacing w:line="276" w:lineRule="auto"/>
              <w:jc w:val="center"/>
              <w:rPr>
                <w:rFonts w:ascii="Arial" w:eastAsia="Arial" w:hAnsi="Arial" w:cs="Arial"/>
                <w:color w:val="auto"/>
                <w:sz w:val="20"/>
                <w:szCs w:val="20"/>
              </w:rPr>
            </w:pPr>
          </w:p>
        </w:tc>
        <w:tc>
          <w:tcPr>
            <w:tcW w:w="2442" w:type="dxa"/>
            <w:vMerge/>
            <w:shd w:val="clear" w:color="auto" w:fill="auto"/>
            <w:tcMar>
              <w:top w:w="0" w:type="dxa"/>
              <w:bottom w:w="0" w:type="dxa"/>
            </w:tcMar>
            <w:vAlign w:val="center"/>
          </w:tcPr>
          <w:p w14:paraId="07B17982" w14:textId="77777777" w:rsidR="009353D9" w:rsidRPr="0021749F" w:rsidRDefault="009353D9" w:rsidP="001133B7">
            <w:pPr>
              <w:pBdr>
                <w:top w:val="nil"/>
                <w:left w:val="nil"/>
                <w:bottom w:val="nil"/>
                <w:right w:val="nil"/>
                <w:between w:val="nil"/>
              </w:pBdr>
              <w:spacing w:line="276" w:lineRule="auto"/>
              <w:jc w:val="center"/>
              <w:rPr>
                <w:rFonts w:ascii="Arial" w:eastAsia="Arial" w:hAnsi="Arial" w:cs="Arial"/>
                <w:color w:val="auto"/>
                <w:sz w:val="20"/>
                <w:szCs w:val="20"/>
              </w:rPr>
            </w:pPr>
          </w:p>
        </w:tc>
        <w:tc>
          <w:tcPr>
            <w:tcW w:w="977" w:type="dxa"/>
            <w:vMerge/>
            <w:shd w:val="clear" w:color="auto" w:fill="auto"/>
            <w:tcMar>
              <w:top w:w="0" w:type="dxa"/>
              <w:bottom w:w="0" w:type="dxa"/>
            </w:tcMar>
            <w:vAlign w:val="center"/>
          </w:tcPr>
          <w:p w14:paraId="3E8F2BF2" w14:textId="77777777" w:rsidR="009353D9" w:rsidRPr="0021749F" w:rsidRDefault="009353D9" w:rsidP="001133B7">
            <w:pPr>
              <w:pBdr>
                <w:top w:val="nil"/>
                <w:left w:val="nil"/>
                <w:bottom w:val="nil"/>
                <w:right w:val="nil"/>
                <w:between w:val="nil"/>
              </w:pBdr>
              <w:spacing w:line="276" w:lineRule="auto"/>
              <w:jc w:val="center"/>
              <w:rPr>
                <w:rFonts w:ascii="Arial" w:eastAsia="Arial" w:hAnsi="Arial" w:cs="Arial"/>
                <w:color w:val="auto"/>
                <w:sz w:val="20"/>
                <w:szCs w:val="20"/>
              </w:rPr>
            </w:pPr>
          </w:p>
        </w:tc>
        <w:tc>
          <w:tcPr>
            <w:tcW w:w="1127" w:type="dxa"/>
            <w:gridSpan w:val="2"/>
            <w:shd w:val="clear" w:color="auto" w:fill="auto"/>
            <w:tcMar>
              <w:top w:w="0" w:type="dxa"/>
              <w:bottom w:w="0" w:type="dxa"/>
            </w:tcMar>
            <w:vAlign w:val="center"/>
          </w:tcPr>
          <w:p w14:paraId="1595B3D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Plan</w:t>
            </w:r>
          </w:p>
        </w:tc>
        <w:tc>
          <w:tcPr>
            <w:tcW w:w="1235" w:type="dxa"/>
            <w:shd w:val="clear" w:color="auto" w:fill="auto"/>
            <w:tcMar>
              <w:top w:w="0" w:type="dxa"/>
              <w:bottom w:w="0" w:type="dxa"/>
            </w:tcMar>
            <w:vAlign w:val="center"/>
          </w:tcPr>
          <w:p w14:paraId="2B20F92D"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Results</w:t>
            </w:r>
          </w:p>
        </w:tc>
        <w:tc>
          <w:tcPr>
            <w:tcW w:w="1080" w:type="dxa"/>
            <w:gridSpan w:val="2"/>
            <w:shd w:val="clear" w:color="auto" w:fill="auto"/>
            <w:tcMar>
              <w:top w:w="0" w:type="dxa"/>
              <w:bottom w:w="0" w:type="dxa"/>
            </w:tcMar>
            <w:vAlign w:val="center"/>
          </w:tcPr>
          <w:p w14:paraId="2B04046C"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Plan/Results</w:t>
            </w:r>
          </w:p>
        </w:tc>
        <w:tc>
          <w:tcPr>
            <w:tcW w:w="1133" w:type="dxa"/>
            <w:shd w:val="clear" w:color="auto" w:fill="auto"/>
            <w:tcMar>
              <w:top w:w="0" w:type="dxa"/>
              <w:bottom w:w="0" w:type="dxa"/>
            </w:tcMar>
            <w:vAlign w:val="center"/>
          </w:tcPr>
          <w:p w14:paraId="542A6B3D"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Same period</w:t>
            </w:r>
          </w:p>
        </w:tc>
      </w:tr>
      <w:tr w:rsidR="0021749F" w:rsidRPr="0021749F" w14:paraId="39B1B656" w14:textId="77777777">
        <w:tc>
          <w:tcPr>
            <w:tcW w:w="1023" w:type="dxa"/>
            <w:shd w:val="clear" w:color="auto" w:fill="auto"/>
            <w:tcMar>
              <w:top w:w="0" w:type="dxa"/>
              <w:bottom w:w="0" w:type="dxa"/>
            </w:tcMar>
            <w:vAlign w:val="center"/>
          </w:tcPr>
          <w:p w14:paraId="743E55D0"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w:t>
            </w:r>
          </w:p>
        </w:tc>
        <w:tc>
          <w:tcPr>
            <w:tcW w:w="7994" w:type="dxa"/>
            <w:gridSpan w:val="8"/>
            <w:shd w:val="clear" w:color="auto" w:fill="auto"/>
            <w:tcMar>
              <w:top w:w="0" w:type="dxa"/>
              <w:bottom w:w="0" w:type="dxa"/>
            </w:tcMar>
            <w:vAlign w:val="center"/>
          </w:tcPr>
          <w:p w14:paraId="166EF4CA" w14:textId="77777777" w:rsidR="009353D9" w:rsidRPr="0021749F" w:rsidRDefault="0021749F">
            <w:pP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Production targets:</w:t>
            </w:r>
          </w:p>
        </w:tc>
      </w:tr>
      <w:tr w:rsidR="0021749F" w:rsidRPr="0021749F" w14:paraId="635B80F3" w14:textId="77777777">
        <w:tc>
          <w:tcPr>
            <w:tcW w:w="1023" w:type="dxa"/>
            <w:shd w:val="clear" w:color="auto" w:fill="auto"/>
            <w:tcMar>
              <w:top w:w="0" w:type="dxa"/>
              <w:bottom w:w="0" w:type="dxa"/>
            </w:tcMar>
            <w:vAlign w:val="center"/>
          </w:tcPr>
          <w:p w14:paraId="71ACC99F"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2442" w:type="dxa"/>
            <w:shd w:val="clear" w:color="auto" w:fill="auto"/>
            <w:tcMar>
              <w:top w:w="0" w:type="dxa"/>
              <w:bottom w:w="0" w:type="dxa"/>
            </w:tcMar>
            <w:vAlign w:val="center"/>
          </w:tcPr>
          <w:p w14:paraId="0CBFC470"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Water production volume</w:t>
            </w:r>
          </w:p>
        </w:tc>
        <w:tc>
          <w:tcPr>
            <w:tcW w:w="977" w:type="dxa"/>
            <w:shd w:val="clear" w:color="auto" w:fill="auto"/>
            <w:tcMar>
              <w:top w:w="0" w:type="dxa"/>
              <w:bottom w:w="0" w:type="dxa"/>
            </w:tcMar>
            <w:vAlign w:val="center"/>
          </w:tcPr>
          <w:p w14:paraId="33DFB0EA"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m3</w:t>
            </w:r>
          </w:p>
        </w:tc>
        <w:tc>
          <w:tcPr>
            <w:tcW w:w="1127" w:type="dxa"/>
            <w:gridSpan w:val="2"/>
            <w:shd w:val="clear" w:color="auto" w:fill="auto"/>
            <w:tcMar>
              <w:top w:w="0" w:type="dxa"/>
              <w:bottom w:w="0" w:type="dxa"/>
            </w:tcMar>
            <w:vAlign w:val="center"/>
          </w:tcPr>
          <w:p w14:paraId="2792CBA3"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10,066,896</w:t>
            </w:r>
          </w:p>
        </w:tc>
        <w:tc>
          <w:tcPr>
            <w:tcW w:w="1235" w:type="dxa"/>
            <w:shd w:val="clear" w:color="auto" w:fill="auto"/>
            <w:tcMar>
              <w:top w:w="0" w:type="dxa"/>
              <w:bottom w:w="0" w:type="dxa"/>
            </w:tcMar>
            <w:vAlign w:val="center"/>
          </w:tcPr>
          <w:p w14:paraId="459B02C2"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10,398,477</w:t>
            </w:r>
          </w:p>
        </w:tc>
        <w:tc>
          <w:tcPr>
            <w:tcW w:w="1080" w:type="dxa"/>
            <w:gridSpan w:val="2"/>
            <w:shd w:val="clear" w:color="auto" w:fill="auto"/>
            <w:tcMar>
              <w:top w:w="0" w:type="dxa"/>
              <w:bottom w:w="0" w:type="dxa"/>
            </w:tcMar>
            <w:vAlign w:val="center"/>
          </w:tcPr>
          <w:p w14:paraId="66C59E72"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+3.3</w:t>
            </w:r>
          </w:p>
        </w:tc>
        <w:tc>
          <w:tcPr>
            <w:tcW w:w="1133" w:type="dxa"/>
            <w:shd w:val="clear" w:color="auto" w:fill="auto"/>
            <w:tcMar>
              <w:top w:w="0" w:type="dxa"/>
              <w:bottom w:w="0" w:type="dxa"/>
            </w:tcMar>
            <w:vAlign w:val="center"/>
          </w:tcPr>
          <w:p w14:paraId="465C70AD"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+0.3</w:t>
            </w:r>
          </w:p>
        </w:tc>
      </w:tr>
      <w:tr w:rsidR="0021749F" w:rsidRPr="0021749F" w14:paraId="339BE37E" w14:textId="77777777">
        <w:tc>
          <w:tcPr>
            <w:tcW w:w="1023" w:type="dxa"/>
            <w:shd w:val="clear" w:color="auto" w:fill="auto"/>
            <w:tcMar>
              <w:top w:w="0" w:type="dxa"/>
              <w:bottom w:w="0" w:type="dxa"/>
            </w:tcMar>
            <w:vAlign w:val="center"/>
          </w:tcPr>
          <w:p w14:paraId="486EDDE4"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w:t>
            </w:r>
          </w:p>
        </w:tc>
        <w:tc>
          <w:tcPr>
            <w:tcW w:w="2442" w:type="dxa"/>
            <w:shd w:val="clear" w:color="auto" w:fill="auto"/>
            <w:tcMar>
              <w:top w:w="0" w:type="dxa"/>
              <w:bottom w:w="0" w:type="dxa"/>
            </w:tcMar>
            <w:vAlign w:val="center"/>
          </w:tcPr>
          <w:p w14:paraId="60435815"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Consumption water</w:t>
            </w:r>
          </w:p>
        </w:tc>
        <w:tc>
          <w:tcPr>
            <w:tcW w:w="977" w:type="dxa"/>
            <w:shd w:val="clear" w:color="auto" w:fill="auto"/>
            <w:tcMar>
              <w:top w:w="0" w:type="dxa"/>
              <w:bottom w:w="0" w:type="dxa"/>
            </w:tcMar>
            <w:vAlign w:val="center"/>
          </w:tcPr>
          <w:p w14:paraId="1296F8D2"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m3</w:t>
            </w:r>
          </w:p>
        </w:tc>
        <w:tc>
          <w:tcPr>
            <w:tcW w:w="1127" w:type="dxa"/>
            <w:gridSpan w:val="2"/>
            <w:shd w:val="clear" w:color="auto" w:fill="auto"/>
            <w:tcMar>
              <w:top w:w="0" w:type="dxa"/>
              <w:bottom w:w="0" w:type="dxa"/>
            </w:tcMar>
            <w:vAlign w:val="center"/>
          </w:tcPr>
          <w:p w14:paraId="44D445F0"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7,850,000</w:t>
            </w:r>
          </w:p>
        </w:tc>
        <w:tc>
          <w:tcPr>
            <w:tcW w:w="1235" w:type="dxa"/>
            <w:shd w:val="clear" w:color="auto" w:fill="auto"/>
            <w:tcMar>
              <w:top w:w="0" w:type="dxa"/>
              <w:bottom w:w="0" w:type="dxa"/>
            </w:tcMar>
            <w:vAlign w:val="center"/>
          </w:tcPr>
          <w:p w14:paraId="1E8BE420"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8,113,696</w:t>
            </w:r>
          </w:p>
        </w:tc>
        <w:tc>
          <w:tcPr>
            <w:tcW w:w="1080" w:type="dxa"/>
            <w:gridSpan w:val="2"/>
            <w:shd w:val="clear" w:color="auto" w:fill="auto"/>
            <w:tcMar>
              <w:top w:w="0" w:type="dxa"/>
              <w:bottom w:w="0" w:type="dxa"/>
            </w:tcMar>
            <w:vAlign w:val="center"/>
          </w:tcPr>
          <w:p w14:paraId="77BB7497"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+3.4</w:t>
            </w:r>
          </w:p>
        </w:tc>
        <w:tc>
          <w:tcPr>
            <w:tcW w:w="1133" w:type="dxa"/>
            <w:shd w:val="clear" w:color="auto" w:fill="auto"/>
            <w:tcMar>
              <w:top w:w="0" w:type="dxa"/>
              <w:bottom w:w="0" w:type="dxa"/>
            </w:tcMar>
            <w:vAlign w:val="center"/>
          </w:tcPr>
          <w:p w14:paraId="6D74C44E"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+2.8</w:t>
            </w:r>
          </w:p>
        </w:tc>
      </w:tr>
      <w:tr w:rsidR="0021749F" w:rsidRPr="0021749F" w14:paraId="0BDF0AF8" w14:textId="77777777">
        <w:tc>
          <w:tcPr>
            <w:tcW w:w="1023" w:type="dxa"/>
            <w:shd w:val="clear" w:color="auto" w:fill="auto"/>
            <w:tcMar>
              <w:top w:w="0" w:type="dxa"/>
              <w:bottom w:w="0" w:type="dxa"/>
            </w:tcMar>
            <w:vAlign w:val="center"/>
          </w:tcPr>
          <w:p w14:paraId="7E7315B0"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3</w:t>
            </w:r>
          </w:p>
        </w:tc>
        <w:tc>
          <w:tcPr>
            <w:tcW w:w="2442" w:type="dxa"/>
            <w:shd w:val="clear" w:color="auto" w:fill="auto"/>
            <w:tcMar>
              <w:top w:w="0" w:type="dxa"/>
              <w:bottom w:w="0" w:type="dxa"/>
            </w:tcMar>
            <w:vAlign w:val="center"/>
          </w:tcPr>
          <w:p w14:paraId="2013F4A1"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Loss rate</w:t>
            </w:r>
          </w:p>
        </w:tc>
        <w:tc>
          <w:tcPr>
            <w:tcW w:w="977" w:type="dxa"/>
            <w:shd w:val="clear" w:color="auto" w:fill="auto"/>
            <w:tcMar>
              <w:top w:w="0" w:type="dxa"/>
              <w:bottom w:w="0" w:type="dxa"/>
            </w:tcMar>
            <w:vAlign w:val="center"/>
          </w:tcPr>
          <w:p w14:paraId="389C8959"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w:t>
            </w:r>
          </w:p>
        </w:tc>
        <w:tc>
          <w:tcPr>
            <w:tcW w:w="1127" w:type="dxa"/>
            <w:gridSpan w:val="2"/>
            <w:shd w:val="clear" w:color="auto" w:fill="auto"/>
            <w:tcMar>
              <w:top w:w="0" w:type="dxa"/>
              <w:bottom w:w="0" w:type="dxa"/>
            </w:tcMar>
            <w:vAlign w:val="center"/>
          </w:tcPr>
          <w:p w14:paraId="684DF266"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22.0</w:t>
            </w:r>
          </w:p>
        </w:tc>
        <w:tc>
          <w:tcPr>
            <w:tcW w:w="1235" w:type="dxa"/>
            <w:shd w:val="clear" w:color="auto" w:fill="auto"/>
            <w:tcMar>
              <w:top w:w="0" w:type="dxa"/>
              <w:bottom w:w="0" w:type="dxa"/>
            </w:tcMar>
            <w:vAlign w:val="center"/>
          </w:tcPr>
          <w:p w14:paraId="11590F72"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22.0</w:t>
            </w:r>
          </w:p>
        </w:tc>
        <w:tc>
          <w:tcPr>
            <w:tcW w:w="1080" w:type="dxa"/>
            <w:gridSpan w:val="2"/>
            <w:shd w:val="clear" w:color="auto" w:fill="auto"/>
            <w:tcMar>
              <w:top w:w="0" w:type="dxa"/>
              <w:bottom w:w="0" w:type="dxa"/>
            </w:tcMar>
            <w:vAlign w:val="center"/>
          </w:tcPr>
          <w:p w14:paraId="20B23A78"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0</w:t>
            </w:r>
          </w:p>
        </w:tc>
        <w:tc>
          <w:tcPr>
            <w:tcW w:w="1133" w:type="dxa"/>
            <w:shd w:val="clear" w:color="auto" w:fill="auto"/>
            <w:tcMar>
              <w:top w:w="0" w:type="dxa"/>
              <w:bottom w:w="0" w:type="dxa"/>
            </w:tcMar>
            <w:vAlign w:val="center"/>
          </w:tcPr>
          <w:p w14:paraId="7079CDF4"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-2.3</w:t>
            </w:r>
          </w:p>
        </w:tc>
      </w:tr>
      <w:tr w:rsidR="0021749F" w:rsidRPr="0021749F" w14:paraId="2D4CC5D3" w14:textId="77777777">
        <w:tc>
          <w:tcPr>
            <w:tcW w:w="1023" w:type="dxa"/>
            <w:shd w:val="clear" w:color="auto" w:fill="auto"/>
            <w:tcMar>
              <w:top w:w="0" w:type="dxa"/>
              <w:bottom w:w="0" w:type="dxa"/>
            </w:tcMar>
            <w:vAlign w:val="center"/>
          </w:tcPr>
          <w:p w14:paraId="06B4935B"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4</w:t>
            </w:r>
          </w:p>
        </w:tc>
        <w:tc>
          <w:tcPr>
            <w:tcW w:w="2442" w:type="dxa"/>
            <w:shd w:val="clear" w:color="auto" w:fill="auto"/>
            <w:tcMar>
              <w:top w:w="0" w:type="dxa"/>
              <w:bottom w:w="0" w:type="dxa"/>
            </w:tcMar>
            <w:vAlign w:val="center"/>
          </w:tcPr>
          <w:p w14:paraId="5885B391"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Electricity norm</w:t>
            </w:r>
          </w:p>
        </w:tc>
        <w:tc>
          <w:tcPr>
            <w:tcW w:w="977" w:type="dxa"/>
            <w:shd w:val="clear" w:color="auto" w:fill="auto"/>
            <w:tcMar>
              <w:top w:w="0" w:type="dxa"/>
              <w:bottom w:w="0" w:type="dxa"/>
            </w:tcMar>
            <w:vAlign w:val="center"/>
          </w:tcPr>
          <w:p w14:paraId="1C46B3A5"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Kw/m3</w:t>
            </w:r>
          </w:p>
        </w:tc>
        <w:tc>
          <w:tcPr>
            <w:tcW w:w="1127" w:type="dxa"/>
            <w:gridSpan w:val="2"/>
            <w:shd w:val="clear" w:color="auto" w:fill="auto"/>
            <w:tcMar>
              <w:top w:w="0" w:type="dxa"/>
              <w:bottom w:w="0" w:type="dxa"/>
            </w:tcMar>
            <w:vAlign w:val="center"/>
          </w:tcPr>
          <w:p w14:paraId="5F667EFB"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0.37</w:t>
            </w:r>
          </w:p>
        </w:tc>
        <w:tc>
          <w:tcPr>
            <w:tcW w:w="1235" w:type="dxa"/>
            <w:shd w:val="clear" w:color="auto" w:fill="auto"/>
            <w:tcMar>
              <w:top w:w="0" w:type="dxa"/>
              <w:bottom w:w="0" w:type="dxa"/>
            </w:tcMar>
            <w:vAlign w:val="center"/>
          </w:tcPr>
          <w:p w14:paraId="7A224C4E"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0.36</w:t>
            </w:r>
          </w:p>
        </w:tc>
        <w:tc>
          <w:tcPr>
            <w:tcW w:w="1080" w:type="dxa"/>
            <w:gridSpan w:val="2"/>
            <w:shd w:val="clear" w:color="auto" w:fill="auto"/>
            <w:tcMar>
              <w:top w:w="0" w:type="dxa"/>
              <w:bottom w:w="0" w:type="dxa"/>
            </w:tcMar>
            <w:vAlign w:val="center"/>
          </w:tcPr>
          <w:p w14:paraId="10D64679"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-0.01</w:t>
            </w:r>
          </w:p>
        </w:tc>
        <w:tc>
          <w:tcPr>
            <w:tcW w:w="1133" w:type="dxa"/>
            <w:shd w:val="clear" w:color="auto" w:fill="auto"/>
            <w:tcMar>
              <w:top w:w="0" w:type="dxa"/>
              <w:bottom w:w="0" w:type="dxa"/>
            </w:tcMar>
            <w:vAlign w:val="center"/>
          </w:tcPr>
          <w:p w14:paraId="075A466F"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-0.01</w:t>
            </w:r>
          </w:p>
        </w:tc>
      </w:tr>
      <w:tr w:rsidR="0021749F" w:rsidRPr="0021749F" w14:paraId="27981CE5" w14:textId="77777777">
        <w:tc>
          <w:tcPr>
            <w:tcW w:w="1023" w:type="dxa"/>
            <w:shd w:val="clear" w:color="auto" w:fill="auto"/>
            <w:tcMar>
              <w:top w:w="0" w:type="dxa"/>
              <w:bottom w:w="0" w:type="dxa"/>
            </w:tcMar>
            <w:vAlign w:val="center"/>
          </w:tcPr>
          <w:p w14:paraId="754DFDA6"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5</w:t>
            </w:r>
          </w:p>
        </w:tc>
        <w:tc>
          <w:tcPr>
            <w:tcW w:w="2442" w:type="dxa"/>
            <w:shd w:val="clear" w:color="auto" w:fill="auto"/>
            <w:tcMar>
              <w:top w:w="0" w:type="dxa"/>
              <w:bottom w:w="0" w:type="dxa"/>
            </w:tcMar>
            <w:vAlign w:val="center"/>
          </w:tcPr>
          <w:p w14:paraId="4C08CCE1"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Customer development</w:t>
            </w:r>
          </w:p>
        </w:tc>
        <w:tc>
          <w:tcPr>
            <w:tcW w:w="977" w:type="dxa"/>
            <w:shd w:val="clear" w:color="auto" w:fill="auto"/>
            <w:tcMar>
              <w:top w:w="0" w:type="dxa"/>
              <w:bottom w:w="0" w:type="dxa"/>
            </w:tcMar>
            <w:vAlign w:val="center"/>
          </w:tcPr>
          <w:p w14:paraId="08A8AC15"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Household</w:t>
            </w:r>
          </w:p>
        </w:tc>
        <w:tc>
          <w:tcPr>
            <w:tcW w:w="1127" w:type="dxa"/>
            <w:gridSpan w:val="2"/>
            <w:shd w:val="clear" w:color="auto" w:fill="auto"/>
            <w:tcMar>
              <w:top w:w="0" w:type="dxa"/>
              <w:bottom w:w="0" w:type="dxa"/>
            </w:tcMar>
            <w:vAlign w:val="center"/>
          </w:tcPr>
          <w:p w14:paraId="49DE5B06"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1,200</w:t>
            </w:r>
          </w:p>
        </w:tc>
        <w:tc>
          <w:tcPr>
            <w:tcW w:w="1235" w:type="dxa"/>
            <w:shd w:val="clear" w:color="auto" w:fill="auto"/>
            <w:tcMar>
              <w:top w:w="0" w:type="dxa"/>
              <w:bottom w:w="0" w:type="dxa"/>
            </w:tcMar>
            <w:vAlign w:val="center"/>
          </w:tcPr>
          <w:p w14:paraId="7256D443"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1,173</w:t>
            </w:r>
          </w:p>
        </w:tc>
        <w:tc>
          <w:tcPr>
            <w:tcW w:w="1080" w:type="dxa"/>
            <w:gridSpan w:val="2"/>
            <w:shd w:val="clear" w:color="auto" w:fill="auto"/>
            <w:tcMar>
              <w:top w:w="0" w:type="dxa"/>
              <w:bottom w:w="0" w:type="dxa"/>
            </w:tcMar>
            <w:vAlign w:val="center"/>
          </w:tcPr>
          <w:p w14:paraId="0819FB70"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-2.25</w:t>
            </w:r>
          </w:p>
        </w:tc>
        <w:tc>
          <w:tcPr>
            <w:tcW w:w="1133" w:type="dxa"/>
            <w:shd w:val="clear" w:color="auto" w:fill="auto"/>
            <w:tcMar>
              <w:top w:w="0" w:type="dxa"/>
              <w:bottom w:w="0" w:type="dxa"/>
            </w:tcMar>
            <w:vAlign w:val="center"/>
          </w:tcPr>
          <w:p w14:paraId="67CFBD25"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+5.7</w:t>
            </w:r>
          </w:p>
        </w:tc>
      </w:tr>
      <w:tr w:rsidR="0021749F" w:rsidRPr="0021749F" w14:paraId="0FC6DA8D" w14:textId="77777777">
        <w:tc>
          <w:tcPr>
            <w:tcW w:w="1023" w:type="dxa"/>
            <w:shd w:val="clear" w:color="auto" w:fill="auto"/>
            <w:tcMar>
              <w:top w:w="0" w:type="dxa"/>
              <w:bottom w:w="0" w:type="dxa"/>
            </w:tcMar>
            <w:vAlign w:val="center"/>
          </w:tcPr>
          <w:p w14:paraId="1199389D"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II</w:t>
            </w:r>
          </w:p>
        </w:tc>
        <w:tc>
          <w:tcPr>
            <w:tcW w:w="7994" w:type="dxa"/>
            <w:gridSpan w:val="8"/>
            <w:shd w:val="clear" w:color="auto" w:fill="auto"/>
            <w:tcMar>
              <w:top w:w="0" w:type="dxa"/>
              <w:bottom w:w="0" w:type="dxa"/>
            </w:tcMar>
            <w:vAlign w:val="center"/>
          </w:tcPr>
          <w:p w14:paraId="3E1D9416"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Financial targets:</w:t>
            </w:r>
          </w:p>
        </w:tc>
      </w:tr>
      <w:tr w:rsidR="0021749F" w:rsidRPr="0021749F" w14:paraId="5B756C9F" w14:textId="77777777">
        <w:tc>
          <w:tcPr>
            <w:tcW w:w="1023" w:type="dxa"/>
            <w:shd w:val="clear" w:color="auto" w:fill="auto"/>
            <w:tcMar>
              <w:top w:w="0" w:type="dxa"/>
              <w:bottom w:w="0" w:type="dxa"/>
            </w:tcMar>
            <w:vAlign w:val="center"/>
          </w:tcPr>
          <w:p w14:paraId="5ABAFC6F"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2442" w:type="dxa"/>
            <w:shd w:val="clear" w:color="auto" w:fill="auto"/>
            <w:tcMar>
              <w:top w:w="0" w:type="dxa"/>
              <w:bottom w:w="0" w:type="dxa"/>
            </w:tcMar>
            <w:vAlign w:val="center"/>
          </w:tcPr>
          <w:p w14:paraId="5273046B"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Total revenue</w:t>
            </w:r>
          </w:p>
        </w:tc>
        <w:tc>
          <w:tcPr>
            <w:tcW w:w="977" w:type="dxa"/>
            <w:shd w:val="clear" w:color="auto" w:fill="auto"/>
            <w:tcMar>
              <w:top w:w="0" w:type="dxa"/>
              <w:bottom w:w="0" w:type="dxa"/>
            </w:tcMar>
            <w:vAlign w:val="center"/>
          </w:tcPr>
          <w:p w14:paraId="217D4B66"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Million VND</w:t>
            </w:r>
          </w:p>
        </w:tc>
        <w:tc>
          <w:tcPr>
            <w:tcW w:w="1008" w:type="dxa"/>
            <w:shd w:val="clear" w:color="auto" w:fill="auto"/>
            <w:tcMar>
              <w:top w:w="0" w:type="dxa"/>
              <w:bottom w:w="0" w:type="dxa"/>
            </w:tcMar>
            <w:vAlign w:val="center"/>
          </w:tcPr>
          <w:p w14:paraId="5EC24951"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66,763.0</w:t>
            </w:r>
          </w:p>
        </w:tc>
        <w:tc>
          <w:tcPr>
            <w:tcW w:w="1354" w:type="dxa"/>
            <w:gridSpan w:val="2"/>
            <w:shd w:val="clear" w:color="auto" w:fill="auto"/>
            <w:tcMar>
              <w:top w:w="0" w:type="dxa"/>
              <w:bottom w:w="0" w:type="dxa"/>
            </w:tcMar>
            <w:vAlign w:val="center"/>
          </w:tcPr>
          <w:p w14:paraId="5E838A48"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75,001.6</w:t>
            </w:r>
          </w:p>
        </w:tc>
        <w:tc>
          <w:tcPr>
            <w:tcW w:w="1062" w:type="dxa"/>
            <w:shd w:val="clear" w:color="auto" w:fill="auto"/>
            <w:tcMar>
              <w:top w:w="0" w:type="dxa"/>
              <w:bottom w:w="0" w:type="dxa"/>
            </w:tcMar>
            <w:vAlign w:val="center"/>
          </w:tcPr>
          <w:p w14:paraId="775CCE89"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+12.3</w:t>
            </w:r>
          </w:p>
        </w:tc>
        <w:tc>
          <w:tcPr>
            <w:tcW w:w="1151" w:type="dxa"/>
            <w:gridSpan w:val="2"/>
            <w:shd w:val="clear" w:color="auto" w:fill="auto"/>
            <w:tcMar>
              <w:top w:w="0" w:type="dxa"/>
              <w:bottom w:w="0" w:type="dxa"/>
            </w:tcMar>
            <w:vAlign w:val="center"/>
          </w:tcPr>
          <w:p w14:paraId="3E6C4A91"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+10.2</w:t>
            </w:r>
          </w:p>
        </w:tc>
      </w:tr>
      <w:tr w:rsidR="0021749F" w:rsidRPr="0021749F" w14:paraId="236B5E61" w14:textId="77777777">
        <w:tc>
          <w:tcPr>
            <w:tcW w:w="1023" w:type="dxa"/>
            <w:shd w:val="clear" w:color="auto" w:fill="auto"/>
            <w:tcMar>
              <w:top w:w="0" w:type="dxa"/>
              <w:bottom w:w="0" w:type="dxa"/>
            </w:tcMar>
            <w:vAlign w:val="center"/>
          </w:tcPr>
          <w:p w14:paraId="42D508B2"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w:t>
            </w:r>
          </w:p>
        </w:tc>
        <w:tc>
          <w:tcPr>
            <w:tcW w:w="2442" w:type="dxa"/>
            <w:shd w:val="clear" w:color="auto" w:fill="auto"/>
            <w:tcMar>
              <w:top w:w="0" w:type="dxa"/>
              <w:bottom w:w="0" w:type="dxa"/>
            </w:tcMar>
            <w:vAlign w:val="center"/>
          </w:tcPr>
          <w:p w14:paraId="01BB74F3"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Realized profit (after tax)</w:t>
            </w:r>
          </w:p>
        </w:tc>
        <w:tc>
          <w:tcPr>
            <w:tcW w:w="977" w:type="dxa"/>
            <w:shd w:val="clear" w:color="auto" w:fill="auto"/>
            <w:tcMar>
              <w:top w:w="0" w:type="dxa"/>
              <w:bottom w:w="0" w:type="dxa"/>
            </w:tcMar>
            <w:vAlign w:val="center"/>
          </w:tcPr>
          <w:p w14:paraId="0F82516B"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Million VND</w:t>
            </w:r>
          </w:p>
        </w:tc>
        <w:tc>
          <w:tcPr>
            <w:tcW w:w="1008" w:type="dxa"/>
            <w:shd w:val="clear" w:color="auto" w:fill="auto"/>
            <w:tcMar>
              <w:top w:w="0" w:type="dxa"/>
              <w:bottom w:w="0" w:type="dxa"/>
            </w:tcMar>
            <w:vAlign w:val="center"/>
          </w:tcPr>
          <w:p w14:paraId="157A1FC3"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3,694.0</w:t>
            </w:r>
          </w:p>
        </w:tc>
        <w:tc>
          <w:tcPr>
            <w:tcW w:w="1354" w:type="dxa"/>
            <w:gridSpan w:val="2"/>
            <w:shd w:val="clear" w:color="auto" w:fill="auto"/>
            <w:tcMar>
              <w:top w:w="0" w:type="dxa"/>
              <w:bottom w:w="0" w:type="dxa"/>
            </w:tcMar>
            <w:vAlign w:val="center"/>
          </w:tcPr>
          <w:p w14:paraId="09213490"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5,801.7</w:t>
            </w:r>
          </w:p>
        </w:tc>
        <w:tc>
          <w:tcPr>
            <w:tcW w:w="1062" w:type="dxa"/>
            <w:shd w:val="clear" w:color="auto" w:fill="auto"/>
            <w:tcMar>
              <w:top w:w="0" w:type="dxa"/>
              <w:bottom w:w="0" w:type="dxa"/>
            </w:tcMar>
            <w:vAlign w:val="center"/>
          </w:tcPr>
          <w:p w14:paraId="59EA3F0B"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+57.1</w:t>
            </w:r>
          </w:p>
        </w:tc>
        <w:tc>
          <w:tcPr>
            <w:tcW w:w="1151" w:type="dxa"/>
            <w:gridSpan w:val="2"/>
            <w:shd w:val="clear" w:color="auto" w:fill="auto"/>
            <w:tcMar>
              <w:top w:w="0" w:type="dxa"/>
              <w:bottom w:w="0" w:type="dxa"/>
            </w:tcMar>
            <w:vAlign w:val="center"/>
          </w:tcPr>
          <w:p w14:paraId="0A8174D2"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+72.6</w:t>
            </w:r>
          </w:p>
        </w:tc>
      </w:tr>
      <w:tr w:rsidR="0021749F" w:rsidRPr="0021749F" w14:paraId="3402C329" w14:textId="77777777">
        <w:tc>
          <w:tcPr>
            <w:tcW w:w="1023" w:type="dxa"/>
            <w:shd w:val="clear" w:color="auto" w:fill="auto"/>
            <w:tcMar>
              <w:top w:w="0" w:type="dxa"/>
              <w:bottom w:w="0" w:type="dxa"/>
            </w:tcMar>
            <w:vAlign w:val="center"/>
          </w:tcPr>
          <w:p w14:paraId="69106AA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3</w:t>
            </w:r>
          </w:p>
        </w:tc>
        <w:tc>
          <w:tcPr>
            <w:tcW w:w="2442" w:type="dxa"/>
            <w:shd w:val="clear" w:color="auto" w:fill="auto"/>
            <w:tcMar>
              <w:top w:w="0" w:type="dxa"/>
              <w:bottom w:w="0" w:type="dxa"/>
            </w:tcMar>
            <w:vAlign w:val="center"/>
          </w:tcPr>
          <w:p w14:paraId="35D88A72"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Taxes and amounts paid to the state budget</w:t>
            </w:r>
          </w:p>
        </w:tc>
        <w:tc>
          <w:tcPr>
            <w:tcW w:w="977" w:type="dxa"/>
            <w:shd w:val="clear" w:color="auto" w:fill="auto"/>
            <w:tcMar>
              <w:top w:w="0" w:type="dxa"/>
              <w:bottom w:w="0" w:type="dxa"/>
            </w:tcMar>
            <w:vAlign w:val="center"/>
          </w:tcPr>
          <w:p w14:paraId="4F4401F8"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Million VND</w:t>
            </w:r>
          </w:p>
        </w:tc>
        <w:tc>
          <w:tcPr>
            <w:tcW w:w="1008" w:type="dxa"/>
            <w:shd w:val="clear" w:color="auto" w:fill="auto"/>
            <w:tcMar>
              <w:top w:w="0" w:type="dxa"/>
              <w:bottom w:w="0" w:type="dxa"/>
            </w:tcMar>
            <w:vAlign w:val="center"/>
          </w:tcPr>
          <w:p w14:paraId="7F0C56AA"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11,900.0</w:t>
            </w:r>
          </w:p>
        </w:tc>
        <w:tc>
          <w:tcPr>
            <w:tcW w:w="1354" w:type="dxa"/>
            <w:gridSpan w:val="2"/>
            <w:shd w:val="clear" w:color="auto" w:fill="auto"/>
            <w:tcMar>
              <w:top w:w="0" w:type="dxa"/>
              <w:bottom w:w="0" w:type="dxa"/>
            </w:tcMar>
            <w:vAlign w:val="center"/>
          </w:tcPr>
          <w:p w14:paraId="1765B437"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14,331.0</w:t>
            </w:r>
          </w:p>
        </w:tc>
        <w:tc>
          <w:tcPr>
            <w:tcW w:w="1062" w:type="dxa"/>
            <w:shd w:val="clear" w:color="auto" w:fill="auto"/>
            <w:tcMar>
              <w:top w:w="0" w:type="dxa"/>
              <w:bottom w:w="0" w:type="dxa"/>
            </w:tcMar>
            <w:vAlign w:val="center"/>
          </w:tcPr>
          <w:p w14:paraId="33BF7095"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+20.4</w:t>
            </w:r>
          </w:p>
        </w:tc>
        <w:tc>
          <w:tcPr>
            <w:tcW w:w="1151" w:type="dxa"/>
            <w:gridSpan w:val="2"/>
            <w:shd w:val="clear" w:color="auto" w:fill="auto"/>
            <w:tcMar>
              <w:top w:w="0" w:type="dxa"/>
              <w:bottom w:w="0" w:type="dxa"/>
            </w:tcMar>
            <w:vAlign w:val="center"/>
          </w:tcPr>
          <w:p w14:paraId="524ECC5C"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+11.2</w:t>
            </w:r>
          </w:p>
        </w:tc>
      </w:tr>
      <w:tr w:rsidR="0021749F" w:rsidRPr="0021749F" w14:paraId="069B9341" w14:textId="77777777">
        <w:tc>
          <w:tcPr>
            <w:tcW w:w="1023" w:type="dxa"/>
            <w:shd w:val="clear" w:color="auto" w:fill="auto"/>
            <w:tcMar>
              <w:top w:w="0" w:type="dxa"/>
              <w:bottom w:w="0" w:type="dxa"/>
            </w:tcMar>
            <w:vAlign w:val="center"/>
          </w:tcPr>
          <w:p w14:paraId="6905B849"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4</w:t>
            </w:r>
          </w:p>
        </w:tc>
        <w:tc>
          <w:tcPr>
            <w:tcW w:w="2442" w:type="dxa"/>
            <w:shd w:val="clear" w:color="auto" w:fill="auto"/>
            <w:tcMar>
              <w:top w:w="0" w:type="dxa"/>
              <w:bottom w:w="0" w:type="dxa"/>
            </w:tcMar>
            <w:vAlign w:val="center"/>
          </w:tcPr>
          <w:p w14:paraId="1B7BB1CC"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Average income</w:t>
            </w:r>
          </w:p>
        </w:tc>
        <w:tc>
          <w:tcPr>
            <w:tcW w:w="977" w:type="dxa"/>
            <w:shd w:val="clear" w:color="auto" w:fill="auto"/>
            <w:tcMar>
              <w:top w:w="0" w:type="dxa"/>
              <w:bottom w:w="0" w:type="dxa"/>
            </w:tcMar>
            <w:vAlign w:val="center"/>
          </w:tcPr>
          <w:p w14:paraId="73609A73"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VND 1,000</w:t>
            </w:r>
          </w:p>
        </w:tc>
        <w:tc>
          <w:tcPr>
            <w:tcW w:w="1008" w:type="dxa"/>
            <w:shd w:val="clear" w:color="auto" w:fill="auto"/>
            <w:tcMar>
              <w:top w:w="0" w:type="dxa"/>
              <w:bottom w:w="0" w:type="dxa"/>
            </w:tcMar>
            <w:vAlign w:val="center"/>
          </w:tcPr>
          <w:p w14:paraId="5C122895"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8,434.4</w:t>
            </w:r>
          </w:p>
        </w:tc>
        <w:tc>
          <w:tcPr>
            <w:tcW w:w="1354" w:type="dxa"/>
            <w:gridSpan w:val="2"/>
            <w:shd w:val="clear" w:color="auto" w:fill="auto"/>
            <w:tcMar>
              <w:top w:w="0" w:type="dxa"/>
              <w:bottom w:w="0" w:type="dxa"/>
            </w:tcMar>
            <w:vAlign w:val="center"/>
          </w:tcPr>
          <w:p w14:paraId="3FABD13E"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9,950.0</w:t>
            </w:r>
          </w:p>
        </w:tc>
        <w:tc>
          <w:tcPr>
            <w:tcW w:w="1062" w:type="dxa"/>
            <w:shd w:val="clear" w:color="auto" w:fill="auto"/>
            <w:tcMar>
              <w:top w:w="0" w:type="dxa"/>
              <w:bottom w:w="0" w:type="dxa"/>
            </w:tcMar>
            <w:vAlign w:val="center"/>
          </w:tcPr>
          <w:p w14:paraId="3D870DB1"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+18.0</w:t>
            </w:r>
          </w:p>
        </w:tc>
        <w:tc>
          <w:tcPr>
            <w:tcW w:w="1151" w:type="dxa"/>
            <w:gridSpan w:val="2"/>
            <w:shd w:val="clear" w:color="auto" w:fill="auto"/>
            <w:tcMar>
              <w:top w:w="0" w:type="dxa"/>
              <w:bottom w:w="0" w:type="dxa"/>
            </w:tcMar>
            <w:vAlign w:val="center"/>
          </w:tcPr>
          <w:p w14:paraId="012514CC"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+10.7</w:t>
            </w:r>
          </w:p>
        </w:tc>
      </w:tr>
    </w:tbl>
    <w:p w14:paraId="196CE07C" w14:textId="77777777" w:rsidR="009353D9" w:rsidRPr="0021749F" w:rsidRDefault="0021749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21749F">
        <w:rPr>
          <w:rFonts w:ascii="Arial" w:hAnsi="Arial"/>
          <w:color w:val="auto"/>
          <w:sz w:val="20"/>
        </w:rPr>
        <w:t>Production and business plan in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3461"/>
        <w:gridCol w:w="1596"/>
        <w:gridCol w:w="1612"/>
        <w:gridCol w:w="1562"/>
      </w:tblGrid>
      <w:tr w:rsidR="0021749F" w:rsidRPr="0021749F" w14:paraId="6C7B2967" w14:textId="77777777">
        <w:tc>
          <w:tcPr>
            <w:tcW w:w="786" w:type="dxa"/>
            <w:shd w:val="clear" w:color="auto" w:fill="auto"/>
            <w:tcMar>
              <w:top w:w="0" w:type="dxa"/>
              <w:bottom w:w="0" w:type="dxa"/>
            </w:tcMar>
            <w:vAlign w:val="center"/>
          </w:tcPr>
          <w:p w14:paraId="00ECB90B"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No.</w:t>
            </w:r>
          </w:p>
        </w:tc>
        <w:tc>
          <w:tcPr>
            <w:tcW w:w="3461" w:type="dxa"/>
            <w:shd w:val="clear" w:color="auto" w:fill="auto"/>
            <w:tcMar>
              <w:top w:w="0" w:type="dxa"/>
              <w:bottom w:w="0" w:type="dxa"/>
            </w:tcMar>
            <w:vAlign w:val="center"/>
          </w:tcPr>
          <w:p w14:paraId="148393DA"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Target</w:t>
            </w:r>
          </w:p>
        </w:tc>
        <w:tc>
          <w:tcPr>
            <w:tcW w:w="1596" w:type="dxa"/>
            <w:shd w:val="clear" w:color="auto" w:fill="auto"/>
            <w:tcMar>
              <w:top w:w="0" w:type="dxa"/>
              <w:bottom w:w="0" w:type="dxa"/>
            </w:tcMar>
            <w:vAlign w:val="center"/>
          </w:tcPr>
          <w:p w14:paraId="16CBC85B"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Unit</w:t>
            </w:r>
          </w:p>
        </w:tc>
        <w:tc>
          <w:tcPr>
            <w:tcW w:w="1612" w:type="dxa"/>
            <w:shd w:val="clear" w:color="auto" w:fill="auto"/>
            <w:tcMar>
              <w:top w:w="0" w:type="dxa"/>
              <w:bottom w:w="0" w:type="dxa"/>
            </w:tcMar>
            <w:vAlign w:val="center"/>
          </w:tcPr>
          <w:p w14:paraId="22D1F809"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Plan in 2024</w:t>
            </w:r>
          </w:p>
        </w:tc>
        <w:tc>
          <w:tcPr>
            <w:tcW w:w="1562" w:type="dxa"/>
            <w:shd w:val="clear" w:color="auto" w:fill="auto"/>
            <w:tcMar>
              <w:top w:w="0" w:type="dxa"/>
              <w:bottom w:w="0" w:type="dxa"/>
            </w:tcMar>
            <w:vAlign w:val="center"/>
          </w:tcPr>
          <w:p w14:paraId="6C2542A8"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Note</w:t>
            </w:r>
          </w:p>
        </w:tc>
      </w:tr>
      <w:tr w:rsidR="0021749F" w:rsidRPr="0021749F" w14:paraId="3157D586" w14:textId="77777777">
        <w:tc>
          <w:tcPr>
            <w:tcW w:w="786" w:type="dxa"/>
            <w:shd w:val="clear" w:color="auto" w:fill="auto"/>
            <w:tcMar>
              <w:top w:w="0" w:type="dxa"/>
              <w:bottom w:w="0" w:type="dxa"/>
            </w:tcMar>
            <w:vAlign w:val="center"/>
          </w:tcPr>
          <w:p w14:paraId="4BF056B8"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w:t>
            </w:r>
          </w:p>
        </w:tc>
        <w:tc>
          <w:tcPr>
            <w:tcW w:w="8231" w:type="dxa"/>
            <w:gridSpan w:val="4"/>
            <w:shd w:val="clear" w:color="auto" w:fill="auto"/>
            <w:tcMar>
              <w:top w:w="0" w:type="dxa"/>
              <w:bottom w:w="0" w:type="dxa"/>
            </w:tcMar>
            <w:vAlign w:val="center"/>
          </w:tcPr>
          <w:p w14:paraId="5E3BA5E3"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Production targets:</w:t>
            </w:r>
          </w:p>
        </w:tc>
      </w:tr>
      <w:tr w:rsidR="0021749F" w:rsidRPr="0021749F" w14:paraId="191BB36D" w14:textId="77777777">
        <w:tc>
          <w:tcPr>
            <w:tcW w:w="786" w:type="dxa"/>
            <w:shd w:val="clear" w:color="auto" w:fill="auto"/>
            <w:tcMar>
              <w:top w:w="0" w:type="dxa"/>
              <w:bottom w:w="0" w:type="dxa"/>
            </w:tcMar>
            <w:vAlign w:val="center"/>
          </w:tcPr>
          <w:p w14:paraId="11A74A4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3461" w:type="dxa"/>
            <w:shd w:val="clear" w:color="auto" w:fill="auto"/>
            <w:tcMar>
              <w:top w:w="0" w:type="dxa"/>
              <w:bottom w:w="0" w:type="dxa"/>
            </w:tcMar>
            <w:vAlign w:val="center"/>
          </w:tcPr>
          <w:p w14:paraId="59D93C0A"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Water production volume</w:t>
            </w:r>
          </w:p>
        </w:tc>
        <w:tc>
          <w:tcPr>
            <w:tcW w:w="1596" w:type="dxa"/>
            <w:shd w:val="clear" w:color="auto" w:fill="auto"/>
            <w:tcMar>
              <w:top w:w="0" w:type="dxa"/>
              <w:bottom w:w="0" w:type="dxa"/>
            </w:tcMar>
            <w:vAlign w:val="center"/>
          </w:tcPr>
          <w:p w14:paraId="7DE138F3"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m3</w:t>
            </w:r>
          </w:p>
        </w:tc>
        <w:tc>
          <w:tcPr>
            <w:tcW w:w="1612" w:type="dxa"/>
            <w:shd w:val="clear" w:color="auto" w:fill="auto"/>
            <w:tcMar>
              <w:top w:w="0" w:type="dxa"/>
              <w:bottom w:w="0" w:type="dxa"/>
            </w:tcMar>
            <w:vAlign w:val="center"/>
          </w:tcPr>
          <w:p w14:paraId="4452C301"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9,812,612</w:t>
            </w:r>
          </w:p>
        </w:tc>
        <w:tc>
          <w:tcPr>
            <w:tcW w:w="1562" w:type="dxa"/>
            <w:shd w:val="clear" w:color="auto" w:fill="auto"/>
            <w:tcMar>
              <w:top w:w="0" w:type="dxa"/>
              <w:bottom w:w="0" w:type="dxa"/>
            </w:tcMar>
            <w:vAlign w:val="center"/>
          </w:tcPr>
          <w:p w14:paraId="360FD99A"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6AE1E819" w14:textId="77777777">
        <w:tc>
          <w:tcPr>
            <w:tcW w:w="786" w:type="dxa"/>
            <w:shd w:val="clear" w:color="auto" w:fill="auto"/>
            <w:tcMar>
              <w:top w:w="0" w:type="dxa"/>
              <w:bottom w:w="0" w:type="dxa"/>
            </w:tcMar>
            <w:vAlign w:val="center"/>
          </w:tcPr>
          <w:p w14:paraId="56BF2534"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w:t>
            </w:r>
          </w:p>
        </w:tc>
        <w:tc>
          <w:tcPr>
            <w:tcW w:w="3461" w:type="dxa"/>
            <w:shd w:val="clear" w:color="auto" w:fill="auto"/>
            <w:tcMar>
              <w:top w:w="0" w:type="dxa"/>
              <w:bottom w:w="0" w:type="dxa"/>
            </w:tcMar>
            <w:vAlign w:val="center"/>
          </w:tcPr>
          <w:p w14:paraId="7E03161A"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Consumption water</w:t>
            </w:r>
          </w:p>
        </w:tc>
        <w:tc>
          <w:tcPr>
            <w:tcW w:w="1596" w:type="dxa"/>
            <w:shd w:val="clear" w:color="auto" w:fill="auto"/>
            <w:tcMar>
              <w:top w:w="0" w:type="dxa"/>
              <w:bottom w:w="0" w:type="dxa"/>
            </w:tcMar>
            <w:vAlign w:val="center"/>
          </w:tcPr>
          <w:p w14:paraId="5773D7F5"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m3</w:t>
            </w:r>
          </w:p>
        </w:tc>
        <w:tc>
          <w:tcPr>
            <w:tcW w:w="1612" w:type="dxa"/>
            <w:shd w:val="clear" w:color="auto" w:fill="auto"/>
            <w:tcMar>
              <w:top w:w="0" w:type="dxa"/>
              <w:bottom w:w="0" w:type="dxa"/>
            </w:tcMar>
            <w:vAlign w:val="center"/>
          </w:tcPr>
          <w:p w14:paraId="1230BD3B"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7,850,000</w:t>
            </w:r>
          </w:p>
        </w:tc>
        <w:tc>
          <w:tcPr>
            <w:tcW w:w="1562" w:type="dxa"/>
            <w:shd w:val="clear" w:color="auto" w:fill="auto"/>
            <w:tcMar>
              <w:top w:w="0" w:type="dxa"/>
              <w:bottom w:w="0" w:type="dxa"/>
            </w:tcMar>
            <w:vAlign w:val="center"/>
          </w:tcPr>
          <w:p w14:paraId="72D83122"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3C40C2D8" w14:textId="77777777">
        <w:tc>
          <w:tcPr>
            <w:tcW w:w="786" w:type="dxa"/>
            <w:shd w:val="clear" w:color="auto" w:fill="auto"/>
            <w:tcMar>
              <w:top w:w="0" w:type="dxa"/>
              <w:bottom w:w="0" w:type="dxa"/>
            </w:tcMar>
            <w:vAlign w:val="center"/>
          </w:tcPr>
          <w:p w14:paraId="779205EF"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lastRenderedPageBreak/>
              <w:t>3</w:t>
            </w:r>
          </w:p>
        </w:tc>
        <w:tc>
          <w:tcPr>
            <w:tcW w:w="3461" w:type="dxa"/>
            <w:shd w:val="clear" w:color="auto" w:fill="auto"/>
            <w:tcMar>
              <w:top w:w="0" w:type="dxa"/>
              <w:bottom w:w="0" w:type="dxa"/>
            </w:tcMar>
            <w:vAlign w:val="center"/>
          </w:tcPr>
          <w:p w14:paraId="37FA8F98"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Loss rate</w:t>
            </w:r>
          </w:p>
        </w:tc>
        <w:tc>
          <w:tcPr>
            <w:tcW w:w="1596" w:type="dxa"/>
            <w:shd w:val="clear" w:color="auto" w:fill="auto"/>
            <w:tcMar>
              <w:top w:w="0" w:type="dxa"/>
              <w:bottom w:w="0" w:type="dxa"/>
            </w:tcMar>
            <w:vAlign w:val="center"/>
          </w:tcPr>
          <w:p w14:paraId="2263981B"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w:t>
            </w:r>
          </w:p>
        </w:tc>
        <w:tc>
          <w:tcPr>
            <w:tcW w:w="1612" w:type="dxa"/>
            <w:shd w:val="clear" w:color="auto" w:fill="auto"/>
            <w:tcMar>
              <w:top w:w="0" w:type="dxa"/>
              <w:bottom w:w="0" w:type="dxa"/>
            </w:tcMar>
            <w:vAlign w:val="center"/>
          </w:tcPr>
          <w:p w14:paraId="61CF0E23"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20.0</w:t>
            </w:r>
          </w:p>
        </w:tc>
        <w:tc>
          <w:tcPr>
            <w:tcW w:w="1562" w:type="dxa"/>
            <w:shd w:val="clear" w:color="auto" w:fill="auto"/>
            <w:tcMar>
              <w:top w:w="0" w:type="dxa"/>
              <w:bottom w:w="0" w:type="dxa"/>
            </w:tcMar>
            <w:vAlign w:val="center"/>
          </w:tcPr>
          <w:p w14:paraId="5F5E35BF"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67E8A9AC" w14:textId="77777777">
        <w:tc>
          <w:tcPr>
            <w:tcW w:w="786" w:type="dxa"/>
            <w:shd w:val="clear" w:color="auto" w:fill="auto"/>
            <w:tcMar>
              <w:top w:w="0" w:type="dxa"/>
              <w:bottom w:w="0" w:type="dxa"/>
            </w:tcMar>
            <w:vAlign w:val="center"/>
          </w:tcPr>
          <w:p w14:paraId="1B7FA5DF"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4</w:t>
            </w:r>
          </w:p>
        </w:tc>
        <w:tc>
          <w:tcPr>
            <w:tcW w:w="3461" w:type="dxa"/>
            <w:shd w:val="clear" w:color="auto" w:fill="auto"/>
            <w:tcMar>
              <w:top w:w="0" w:type="dxa"/>
              <w:bottom w:w="0" w:type="dxa"/>
            </w:tcMar>
            <w:vAlign w:val="center"/>
          </w:tcPr>
          <w:p w14:paraId="0B0B27D8"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Electricity norm</w:t>
            </w:r>
          </w:p>
        </w:tc>
        <w:tc>
          <w:tcPr>
            <w:tcW w:w="1596" w:type="dxa"/>
            <w:shd w:val="clear" w:color="auto" w:fill="auto"/>
            <w:tcMar>
              <w:top w:w="0" w:type="dxa"/>
              <w:bottom w:w="0" w:type="dxa"/>
            </w:tcMar>
            <w:vAlign w:val="center"/>
          </w:tcPr>
          <w:p w14:paraId="4604360D"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Kw/m3</w:t>
            </w:r>
          </w:p>
        </w:tc>
        <w:tc>
          <w:tcPr>
            <w:tcW w:w="1612" w:type="dxa"/>
            <w:shd w:val="clear" w:color="auto" w:fill="auto"/>
            <w:tcMar>
              <w:top w:w="0" w:type="dxa"/>
              <w:bottom w:w="0" w:type="dxa"/>
            </w:tcMar>
            <w:vAlign w:val="center"/>
          </w:tcPr>
          <w:p w14:paraId="2A9A6D7C"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0.37</w:t>
            </w:r>
          </w:p>
        </w:tc>
        <w:tc>
          <w:tcPr>
            <w:tcW w:w="1562" w:type="dxa"/>
            <w:shd w:val="clear" w:color="auto" w:fill="auto"/>
            <w:tcMar>
              <w:top w:w="0" w:type="dxa"/>
              <w:bottom w:w="0" w:type="dxa"/>
            </w:tcMar>
            <w:vAlign w:val="center"/>
          </w:tcPr>
          <w:p w14:paraId="016702F2"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2B69028F" w14:textId="77777777">
        <w:tc>
          <w:tcPr>
            <w:tcW w:w="786" w:type="dxa"/>
            <w:shd w:val="clear" w:color="auto" w:fill="auto"/>
            <w:tcMar>
              <w:top w:w="0" w:type="dxa"/>
              <w:bottom w:w="0" w:type="dxa"/>
            </w:tcMar>
            <w:vAlign w:val="center"/>
          </w:tcPr>
          <w:p w14:paraId="63C20852"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5</w:t>
            </w:r>
          </w:p>
        </w:tc>
        <w:tc>
          <w:tcPr>
            <w:tcW w:w="3461" w:type="dxa"/>
            <w:shd w:val="clear" w:color="auto" w:fill="auto"/>
            <w:tcMar>
              <w:top w:w="0" w:type="dxa"/>
              <w:bottom w:w="0" w:type="dxa"/>
            </w:tcMar>
            <w:vAlign w:val="center"/>
          </w:tcPr>
          <w:p w14:paraId="25C6191E"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Customer development</w:t>
            </w:r>
          </w:p>
        </w:tc>
        <w:tc>
          <w:tcPr>
            <w:tcW w:w="1596" w:type="dxa"/>
            <w:shd w:val="clear" w:color="auto" w:fill="auto"/>
            <w:tcMar>
              <w:top w:w="0" w:type="dxa"/>
              <w:bottom w:w="0" w:type="dxa"/>
            </w:tcMar>
            <w:vAlign w:val="center"/>
          </w:tcPr>
          <w:p w14:paraId="3BBE59E2"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Household</w:t>
            </w:r>
          </w:p>
        </w:tc>
        <w:tc>
          <w:tcPr>
            <w:tcW w:w="1612" w:type="dxa"/>
            <w:shd w:val="clear" w:color="auto" w:fill="auto"/>
            <w:tcMar>
              <w:top w:w="0" w:type="dxa"/>
              <w:bottom w:w="0" w:type="dxa"/>
            </w:tcMar>
            <w:vAlign w:val="center"/>
          </w:tcPr>
          <w:p w14:paraId="108AFF9B"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1,200</w:t>
            </w:r>
          </w:p>
        </w:tc>
        <w:tc>
          <w:tcPr>
            <w:tcW w:w="1562" w:type="dxa"/>
            <w:shd w:val="clear" w:color="auto" w:fill="auto"/>
            <w:tcMar>
              <w:top w:w="0" w:type="dxa"/>
              <w:bottom w:w="0" w:type="dxa"/>
            </w:tcMar>
            <w:vAlign w:val="center"/>
          </w:tcPr>
          <w:p w14:paraId="3F7CA23E"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714B66D8" w14:textId="77777777">
        <w:tc>
          <w:tcPr>
            <w:tcW w:w="786" w:type="dxa"/>
            <w:shd w:val="clear" w:color="auto" w:fill="auto"/>
            <w:tcMar>
              <w:top w:w="0" w:type="dxa"/>
              <w:bottom w:w="0" w:type="dxa"/>
            </w:tcMar>
            <w:vAlign w:val="center"/>
          </w:tcPr>
          <w:p w14:paraId="76940036"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II</w:t>
            </w:r>
          </w:p>
        </w:tc>
        <w:tc>
          <w:tcPr>
            <w:tcW w:w="8231" w:type="dxa"/>
            <w:gridSpan w:val="4"/>
            <w:shd w:val="clear" w:color="auto" w:fill="auto"/>
            <w:tcMar>
              <w:top w:w="0" w:type="dxa"/>
              <w:bottom w:w="0" w:type="dxa"/>
            </w:tcMar>
            <w:vAlign w:val="center"/>
          </w:tcPr>
          <w:p w14:paraId="26D916C6"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Financial targets:</w:t>
            </w:r>
          </w:p>
        </w:tc>
      </w:tr>
      <w:tr w:rsidR="0021749F" w:rsidRPr="0021749F" w14:paraId="64E4F4F4" w14:textId="77777777">
        <w:tc>
          <w:tcPr>
            <w:tcW w:w="786" w:type="dxa"/>
            <w:shd w:val="clear" w:color="auto" w:fill="auto"/>
            <w:tcMar>
              <w:top w:w="0" w:type="dxa"/>
              <w:bottom w:w="0" w:type="dxa"/>
            </w:tcMar>
            <w:vAlign w:val="center"/>
          </w:tcPr>
          <w:p w14:paraId="74B56028"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3461" w:type="dxa"/>
            <w:shd w:val="clear" w:color="auto" w:fill="auto"/>
            <w:tcMar>
              <w:top w:w="0" w:type="dxa"/>
              <w:bottom w:w="0" w:type="dxa"/>
            </w:tcMar>
            <w:vAlign w:val="center"/>
          </w:tcPr>
          <w:p w14:paraId="6D36C9C0"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Total revenue</w:t>
            </w:r>
          </w:p>
        </w:tc>
        <w:tc>
          <w:tcPr>
            <w:tcW w:w="1596" w:type="dxa"/>
            <w:shd w:val="clear" w:color="auto" w:fill="auto"/>
            <w:tcMar>
              <w:top w:w="0" w:type="dxa"/>
              <w:bottom w:w="0" w:type="dxa"/>
            </w:tcMar>
            <w:vAlign w:val="center"/>
          </w:tcPr>
          <w:p w14:paraId="69E6C841"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Million VND</w:t>
            </w:r>
          </w:p>
        </w:tc>
        <w:tc>
          <w:tcPr>
            <w:tcW w:w="1612" w:type="dxa"/>
            <w:shd w:val="clear" w:color="auto" w:fill="auto"/>
            <w:tcMar>
              <w:top w:w="0" w:type="dxa"/>
              <w:bottom w:w="0" w:type="dxa"/>
            </w:tcMar>
            <w:vAlign w:val="center"/>
          </w:tcPr>
          <w:p w14:paraId="559D490B"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68,333.0</w:t>
            </w:r>
          </w:p>
        </w:tc>
        <w:tc>
          <w:tcPr>
            <w:tcW w:w="1562" w:type="dxa"/>
            <w:shd w:val="clear" w:color="auto" w:fill="auto"/>
            <w:tcMar>
              <w:top w:w="0" w:type="dxa"/>
              <w:bottom w:w="0" w:type="dxa"/>
            </w:tcMar>
            <w:vAlign w:val="center"/>
          </w:tcPr>
          <w:p w14:paraId="0E080643"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3D407280" w14:textId="77777777">
        <w:tc>
          <w:tcPr>
            <w:tcW w:w="786" w:type="dxa"/>
            <w:shd w:val="clear" w:color="auto" w:fill="auto"/>
            <w:tcMar>
              <w:top w:w="0" w:type="dxa"/>
              <w:bottom w:w="0" w:type="dxa"/>
            </w:tcMar>
            <w:vAlign w:val="center"/>
          </w:tcPr>
          <w:p w14:paraId="3E9632D2"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w:t>
            </w:r>
          </w:p>
        </w:tc>
        <w:tc>
          <w:tcPr>
            <w:tcW w:w="3461" w:type="dxa"/>
            <w:shd w:val="clear" w:color="auto" w:fill="auto"/>
            <w:tcMar>
              <w:top w:w="0" w:type="dxa"/>
              <w:bottom w:w="0" w:type="dxa"/>
            </w:tcMar>
            <w:vAlign w:val="center"/>
          </w:tcPr>
          <w:p w14:paraId="232877A2"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Realized profit (after tax)</w:t>
            </w:r>
          </w:p>
        </w:tc>
        <w:tc>
          <w:tcPr>
            <w:tcW w:w="1596" w:type="dxa"/>
            <w:shd w:val="clear" w:color="auto" w:fill="auto"/>
            <w:tcMar>
              <w:top w:w="0" w:type="dxa"/>
              <w:bottom w:w="0" w:type="dxa"/>
            </w:tcMar>
            <w:vAlign w:val="center"/>
          </w:tcPr>
          <w:p w14:paraId="6282576B"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Million VND</w:t>
            </w:r>
          </w:p>
        </w:tc>
        <w:tc>
          <w:tcPr>
            <w:tcW w:w="1612" w:type="dxa"/>
            <w:shd w:val="clear" w:color="auto" w:fill="auto"/>
            <w:tcMar>
              <w:top w:w="0" w:type="dxa"/>
              <w:bottom w:w="0" w:type="dxa"/>
            </w:tcMar>
            <w:vAlign w:val="center"/>
          </w:tcPr>
          <w:p w14:paraId="3D608E58"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4,674.0</w:t>
            </w:r>
          </w:p>
        </w:tc>
        <w:tc>
          <w:tcPr>
            <w:tcW w:w="1562" w:type="dxa"/>
            <w:shd w:val="clear" w:color="auto" w:fill="auto"/>
            <w:tcMar>
              <w:top w:w="0" w:type="dxa"/>
              <w:bottom w:w="0" w:type="dxa"/>
            </w:tcMar>
            <w:vAlign w:val="center"/>
          </w:tcPr>
          <w:p w14:paraId="3C41A414"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423644F8" w14:textId="77777777">
        <w:tc>
          <w:tcPr>
            <w:tcW w:w="786" w:type="dxa"/>
            <w:shd w:val="clear" w:color="auto" w:fill="auto"/>
            <w:tcMar>
              <w:top w:w="0" w:type="dxa"/>
              <w:bottom w:w="0" w:type="dxa"/>
            </w:tcMar>
            <w:vAlign w:val="center"/>
          </w:tcPr>
          <w:p w14:paraId="6C756D2B"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3</w:t>
            </w:r>
          </w:p>
        </w:tc>
        <w:tc>
          <w:tcPr>
            <w:tcW w:w="3461" w:type="dxa"/>
            <w:shd w:val="clear" w:color="auto" w:fill="auto"/>
            <w:tcMar>
              <w:top w:w="0" w:type="dxa"/>
              <w:bottom w:w="0" w:type="dxa"/>
            </w:tcMar>
            <w:vAlign w:val="center"/>
          </w:tcPr>
          <w:p w14:paraId="6FE9EE33"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Taxes and amounts paid to the state budget</w:t>
            </w:r>
          </w:p>
        </w:tc>
        <w:tc>
          <w:tcPr>
            <w:tcW w:w="1596" w:type="dxa"/>
            <w:shd w:val="clear" w:color="auto" w:fill="auto"/>
            <w:tcMar>
              <w:top w:w="0" w:type="dxa"/>
              <w:bottom w:w="0" w:type="dxa"/>
            </w:tcMar>
            <w:vAlign w:val="center"/>
          </w:tcPr>
          <w:p w14:paraId="7C6403CC"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Million VND</w:t>
            </w:r>
          </w:p>
        </w:tc>
        <w:tc>
          <w:tcPr>
            <w:tcW w:w="1612" w:type="dxa"/>
            <w:shd w:val="clear" w:color="auto" w:fill="auto"/>
            <w:tcMar>
              <w:top w:w="0" w:type="dxa"/>
              <w:bottom w:w="0" w:type="dxa"/>
            </w:tcMar>
            <w:vAlign w:val="center"/>
          </w:tcPr>
          <w:p w14:paraId="23F2B142"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14,500.0</w:t>
            </w:r>
          </w:p>
        </w:tc>
        <w:tc>
          <w:tcPr>
            <w:tcW w:w="1562" w:type="dxa"/>
            <w:shd w:val="clear" w:color="auto" w:fill="auto"/>
            <w:tcMar>
              <w:top w:w="0" w:type="dxa"/>
              <w:bottom w:w="0" w:type="dxa"/>
            </w:tcMar>
            <w:vAlign w:val="center"/>
          </w:tcPr>
          <w:p w14:paraId="3086E61A"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36D9933B" w14:textId="77777777">
        <w:tc>
          <w:tcPr>
            <w:tcW w:w="786" w:type="dxa"/>
            <w:shd w:val="clear" w:color="auto" w:fill="auto"/>
            <w:tcMar>
              <w:top w:w="0" w:type="dxa"/>
              <w:bottom w:w="0" w:type="dxa"/>
            </w:tcMar>
            <w:vAlign w:val="center"/>
          </w:tcPr>
          <w:p w14:paraId="3700A98C"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4</w:t>
            </w:r>
          </w:p>
        </w:tc>
        <w:tc>
          <w:tcPr>
            <w:tcW w:w="3461" w:type="dxa"/>
            <w:shd w:val="clear" w:color="auto" w:fill="auto"/>
            <w:tcMar>
              <w:top w:w="0" w:type="dxa"/>
              <w:bottom w:w="0" w:type="dxa"/>
            </w:tcMar>
            <w:vAlign w:val="center"/>
          </w:tcPr>
          <w:p w14:paraId="2F753654"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Payment of social insurance, health insurance, unemployment insurance</w:t>
            </w:r>
          </w:p>
        </w:tc>
        <w:tc>
          <w:tcPr>
            <w:tcW w:w="1596" w:type="dxa"/>
            <w:shd w:val="clear" w:color="auto" w:fill="auto"/>
            <w:tcMar>
              <w:top w:w="0" w:type="dxa"/>
              <w:bottom w:w="0" w:type="dxa"/>
            </w:tcMar>
            <w:vAlign w:val="center"/>
          </w:tcPr>
          <w:p w14:paraId="3EB1FF85"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Million VND</w:t>
            </w:r>
          </w:p>
        </w:tc>
        <w:tc>
          <w:tcPr>
            <w:tcW w:w="1612" w:type="dxa"/>
            <w:shd w:val="clear" w:color="auto" w:fill="auto"/>
            <w:tcMar>
              <w:top w:w="0" w:type="dxa"/>
              <w:bottom w:w="0" w:type="dxa"/>
            </w:tcMar>
            <w:vAlign w:val="center"/>
          </w:tcPr>
          <w:p w14:paraId="4DA46456"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5,645.0</w:t>
            </w:r>
          </w:p>
        </w:tc>
        <w:tc>
          <w:tcPr>
            <w:tcW w:w="1562" w:type="dxa"/>
            <w:shd w:val="clear" w:color="auto" w:fill="auto"/>
            <w:tcMar>
              <w:top w:w="0" w:type="dxa"/>
              <w:bottom w:w="0" w:type="dxa"/>
            </w:tcMar>
            <w:vAlign w:val="center"/>
          </w:tcPr>
          <w:p w14:paraId="36AA1AF9"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6CBE38FA" w14:textId="77777777">
        <w:tc>
          <w:tcPr>
            <w:tcW w:w="786" w:type="dxa"/>
            <w:shd w:val="clear" w:color="auto" w:fill="auto"/>
            <w:tcMar>
              <w:top w:w="0" w:type="dxa"/>
              <w:bottom w:w="0" w:type="dxa"/>
            </w:tcMar>
            <w:vAlign w:val="center"/>
          </w:tcPr>
          <w:p w14:paraId="53F210EE"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5</w:t>
            </w:r>
          </w:p>
        </w:tc>
        <w:tc>
          <w:tcPr>
            <w:tcW w:w="3461" w:type="dxa"/>
            <w:shd w:val="clear" w:color="auto" w:fill="auto"/>
            <w:tcMar>
              <w:top w:w="0" w:type="dxa"/>
              <w:bottom w:w="0" w:type="dxa"/>
            </w:tcMar>
            <w:vAlign w:val="center"/>
          </w:tcPr>
          <w:p w14:paraId="088053C7"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Average income</w:t>
            </w:r>
          </w:p>
        </w:tc>
        <w:tc>
          <w:tcPr>
            <w:tcW w:w="1596" w:type="dxa"/>
            <w:shd w:val="clear" w:color="auto" w:fill="auto"/>
            <w:tcMar>
              <w:top w:w="0" w:type="dxa"/>
              <w:bottom w:w="0" w:type="dxa"/>
            </w:tcMar>
            <w:vAlign w:val="center"/>
          </w:tcPr>
          <w:p w14:paraId="3E1AC08D" w14:textId="77777777" w:rsidR="009353D9" w:rsidRPr="0021749F" w:rsidRDefault="0021749F">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VND 1,000</w:t>
            </w:r>
          </w:p>
        </w:tc>
        <w:tc>
          <w:tcPr>
            <w:tcW w:w="1612" w:type="dxa"/>
            <w:shd w:val="clear" w:color="auto" w:fill="auto"/>
            <w:tcMar>
              <w:top w:w="0" w:type="dxa"/>
              <w:bottom w:w="0" w:type="dxa"/>
            </w:tcMar>
            <w:vAlign w:val="center"/>
          </w:tcPr>
          <w:p w14:paraId="2359B119"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9,123.9</w:t>
            </w:r>
          </w:p>
        </w:tc>
        <w:tc>
          <w:tcPr>
            <w:tcW w:w="1562" w:type="dxa"/>
            <w:shd w:val="clear" w:color="auto" w:fill="auto"/>
            <w:tcMar>
              <w:top w:w="0" w:type="dxa"/>
              <w:bottom w:w="0" w:type="dxa"/>
            </w:tcMar>
            <w:vAlign w:val="center"/>
          </w:tcPr>
          <w:p w14:paraId="42EBD7AF" w14:textId="77777777" w:rsidR="009353D9" w:rsidRPr="0021749F" w:rsidRDefault="009353D9">
            <w:pPr>
              <w:tabs>
                <w:tab w:val="left" w:pos="432"/>
              </w:tabs>
              <w:spacing w:after="120" w:line="360" w:lineRule="auto"/>
              <w:rPr>
                <w:rFonts w:ascii="Arial" w:eastAsia="Arial" w:hAnsi="Arial" w:cs="Arial"/>
                <w:color w:val="auto"/>
                <w:sz w:val="20"/>
                <w:szCs w:val="20"/>
              </w:rPr>
            </w:pPr>
          </w:p>
        </w:tc>
      </w:tr>
    </w:tbl>
    <w:p w14:paraId="589CB7F2" w14:textId="77777777" w:rsidR="009353D9" w:rsidRPr="0021749F" w:rsidRDefault="0021749F" w:rsidP="001133B7">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‎‎Article 2. Approve the Report on the activities of the Board of Directors of Tuyen Quang Water Supply and Sewerage Joint Stock Company in 2023; orientation and tasks for 2024.</w:t>
      </w:r>
    </w:p>
    <w:p w14:paraId="0F4992C3" w14:textId="77777777" w:rsidR="009353D9" w:rsidRPr="0021749F" w:rsidRDefault="0021749F" w:rsidP="001133B7">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Article 3. Approve the Report on the activities of the Supervisory Board of Tuyen Quang Water Supply and Sewerage Joint Stock Company in 2023; orientation and tasks for 2024.</w:t>
      </w:r>
    </w:p>
    <w:p w14:paraId="14900022" w14:textId="77777777" w:rsidR="009353D9" w:rsidRPr="0021749F" w:rsidRDefault="0021749F" w:rsidP="001133B7">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Article 4. Approve the audited Financial Statements for 2023 of Tuyen Quang Water Supply and Sewerage Joint Stock Company.</w:t>
      </w:r>
    </w:p>
    <w:p w14:paraId="7361E227" w14:textId="77777777" w:rsidR="009353D9" w:rsidRPr="0021749F" w:rsidRDefault="0021749F" w:rsidP="001133B7">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Article 5. Approve the Plan for profit distribution and dividend payment in 2023; Plan for profit distribution and dividend payment in 2024 of Tuyen Quang Water Supply and Sewerage Joint Stock Company.</w:t>
      </w:r>
    </w:p>
    <w:p w14:paraId="0D2DEF27" w14:textId="5F5A2FC4" w:rsidR="009353D9" w:rsidRPr="0021749F" w:rsidRDefault="0021749F" w:rsidP="001133B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auto"/>
          <w:sz w:val="20"/>
          <w:szCs w:val="20"/>
        </w:rPr>
      </w:pPr>
      <w:r w:rsidRPr="0021749F">
        <w:rPr>
          <w:rFonts w:ascii="Arial" w:hAnsi="Arial"/>
          <w:color w:val="auto"/>
          <w:sz w:val="20"/>
        </w:rPr>
        <w:t>Plan on profit distribution and dividend payment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6267"/>
        <w:gridCol w:w="2031"/>
      </w:tblGrid>
      <w:tr w:rsidR="0021749F" w:rsidRPr="0021749F" w14:paraId="25B73A64" w14:textId="77777777">
        <w:tc>
          <w:tcPr>
            <w:tcW w:w="719" w:type="dxa"/>
            <w:shd w:val="clear" w:color="auto" w:fill="auto"/>
            <w:tcMar>
              <w:top w:w="0" w:type="dxa"/>
              <w:bottom w:w="0" w:type="dxa"/>
            </w:tcMar>
            <w:vAlign w:val="center"/>
          </w:tcPr>
          <w:p w14:paraId="363C5DBF"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No.</w:t>
            </w:r>
          </w:p>
        </w:tc>
        <w:tc>
          <w:tcPr>
            <w:tcW w:w="6267" w:type="dxa"/>
            <w:shd w:val="clear" w:color="auto" w:fill="auto"/>
            <w:tcMar>
              <w:top w:w="0" w:type="dxa"/>
              <w:bottom w:w="0" w:type="dxa"/>
            </w:tcMar>
            <w:vAlign w:val="center"/>
          </w:tcPr>
          <w:p w14:paraId="44E5332A"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Content</w:t>
            </w:r>
          </w:p>
        </w:tc>
        <w:tc>
          <w:tcPr>
            <w:tcW w:w="2031" w:type="dxa"/>
            <w:shd w:val="clear" w:color="auto" w:fill="auto"/>
            <w:tcMar>
              <w:top w:w="0" w:type="dxa"/>
              <w:bottom w:w="0" w:type="dxa"/>
            </w:tcMar>
            <w:vAlign w:val="center"/>
          </w:tcPr>
          <w:p w14:paraId="27E8B6BD"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Amount (VND)</w:t>
            </w:r>
          </w:p>
        </w:tc>
      </w:tr>
      <w:tr w:rsidR="0021749F" w:rsidRPr="0021749F" w14:paraId="28DCCC54" w14:textId="77777777">
        <w:tc>
          <w:tcPr>
            <w:tcW w:w="719" w:type="dxa"/>
            <w:shd w:val="clear" w:color="auto" w:fill="auto"/>
            <w:tcMar>
              <w:top w:w="0" w:type="dxa"/>
              <w:bottom w:w="0" w:type="dxa"/>
            </w:tcMar>
            <w:vAlign w:val="center"/>
          </w:tcPr>
          <w:p w14:paraId="0147DDFB"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6267" w:type="dxa"/>
            <w:shd w:val="clear" w:color="auto" w:fill="auto"/>
            <w:tcMar>
              <w:top w:w="0" w:type="dxa"/>
              <w:bottom w:w="0" w:type="dxa"/>
            </w:tcMar>
            <w:vAlign w:val="center"/>
          </w:tcPr>
          <w:p w14:paraId="3D1B9CE2"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Total profit before tax</w:t>
            </w:r>
          </w:p>
        </w:tc>
        <w:tc>
          <w:tcPr>
            <w:tcW w:w="2031" w:type="dxa"/>
            <w:shd w:val="clear" w:color="auto" w:fill="auto"/>
            <w:tcMar>
              <w:top w:w="0" w:type="dxa"/>
              <w:bottom w:w="0" w:type="dxa"/>
            </w:tcMar>
            <w:vAlign w:val="center"/>
          </w:tcPr>
          <w:p w14:paraId="675E5481"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7,313,582,918</w:t>
            </w:r>
          </w:p>
        </w:tc>
      </w:tr>
      <w:tr w:rsidR="0021749F" w:rsidRPr="0021749F" w14:paraId="33C857D9" w14:textId="77777777">
        <w:tc>
          <w:tcPr>
            <w:tcW w:w="719" w:type="dxa"/>
            <w:shd w:val="clear" w:color="auto" w:fill="auto"/>
            <w:tcMar>
              <w:top w:w="0" w:type="dxa"/>
              <w:bottom w:w="0" w:type="dxa"/>
            </w:tcMar>
            <w:vAlign w:val="center"/>
          </w:tcPr>
          <w:p w14:paraId="399788D5"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w:t>
            </w:r>
          </w:p>
        </w:tc>
        <w:tc>
          <w:tcPr>
            <w:tcW w:w="6267" w:type="dxa"/>
            <w:shd w:val="clear" w:color="auto" w:fill="auto"/>
            <w:tcMar>
              <w:top w:w="0" w:type="dxa"/>
              <w:bottom w:w="0" w:type="dxa"/>
            </w:tcMar>
            <w:vAlign w:val="center"/>
          </w:tcPr>
          <w:p w14:paraId="056936D0"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Profit after tax</w:t>
            </w:r>
          </w:p>
        </w:tc>
        <w:tc>
          <w:tcPr>
            <w:tcW w:w="2031" w:type="dxa"/>
            <w:shd w:val="clear" w:color="auto" w:fill="auto"/>
            <w:tcMar>
              <w:top w:w="0" w:type="dxa"/>
              <w:bottom w:w="0" w:type="dxa"/>
            </w:tcMar>
            <w:vAlign w:val="center"/>
          </w:tcPr>
          <w:p w14:paraId="30687E77"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5,801,686,081</w:t>
            </w:r>
          </w:p>
        </w:tc>
      </w:tr>
      <w:tr w:rsidR="0021749F" w:rsidRPr="0021749F" w14:paraId="504E067C" w14:textId="77777777">
        <w:tc>
          <w:tcPr>
            <w:tcW w:w="719" w:type="dxa"/>
            <w:shd w:val="clear" w:color="auto" w:fill="auto"/>
            <w:tcMar>
              <w:top w:w="0" w:type="dxa"/>
              <w:bottom w:w="0" w:type="dxa"/>
            </w:tcMar>
            <w:vAlign w:val="center"/>
          </w:tcPr>
          <w:p w14:paraId="27DEF7A6"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3</w:t>
            </w:r>
          </w:p>
        </w:tc>
        <w:tc>
          <w:tcPr>
            <w:tcW w:w="6267" w:type="dxa"/>
            <w:shd w:val="clear" w:color="auto" w:fill="auto"/>
            <w:tcMar>
              <w:top w:w="0" w:type="dxa"/>
              <w:bottom w:w="0" w:type="dxa"/>
            </w:tcMar>
            <w:vAlign w:val="center"/>
          </w:tcPr>
          <w:p w14:paraId="2FCF70A6"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Distribute dividends to shareholders at the rate of 6.4% of the owner's contributed capital (equivalent to VND 640/share)</w:t>
            </w:r>
          </w:p>
        </w:tc>
        <w:tc>
          <w:tcPr>
            <w:tcW w:w="2031" w:type="dxa"/>
            <w:shd w:val="clear" w:color="auto" w:fill="auto"/>
            <w:tcMar>
              <w:top w:w="0" w:type="dxa"/>
              <w:bottom w:w="0" w:type="dxa"/>
            </w:tcMar>
            <w:vAlign w:val="center"/>
          </w:tcPr>
          <w:p w14:paraId="442165DF"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5,717,248,000</w:t>
            </w:r>
          </w:p>
        </w:tc>
      </w:tr>
      <w:tr w:rsidR="0021749F" w:rsidRPr="0021749F" w14:paraId="659F7F97" w14:textId="77777777">
        <w:tc>
          <w:tcPr>
            <w:tcW w:w="719" w:type="dxa"/>
            <w:shd w:val="clear" w:color="auto" w:fill="auto"/>
            <w:tcMar>
              <w:top w:w="0" w:type="dxa"/>
              <w:bottom w:w="0" w:type="dxa"/>
            </w:tcMar>
            <w:vAlign w:val="center"/>
          </w:tcPr>
          <w:p w14:paraId="5C5BA128"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4</w:t>
            </w:r>
          </w:p>
        </w:tc>
        <w:tc>
          <w:tcPr>
            <w:tcW w:w="6267" w:type="dxa"/>
            <w:shd w:val="clear" w:color="auto" w:fill="auto"/>
            <w:tcMar>
              <w:top w:w="0" w:type="dxa"/>
              <w:bottom w:w="0" w:type="dxa"/>
            </w:tcMar>
            <w:vAlign w:val="center"/>
          </w:tcPr>
          <w:p w14:paraId="42425AC4"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Welfare fund:</w:t>
            </w:r>
          </w:p>
        </w:tc>
        <w:tc>
          <w:tcPr>
            <w:tcW w:w="2031" w:type="dxa"/>
            <w:shd w:val="clear" w:color="auto" w:fill="auto"/>
            <w:tcMar>
              <w:top w:w="0" w:type="dxa"/>
              <w:bottom w:w="0" w:type="dxa"/>
            </w:tcMar>
            <w:vAlign w:val="center"/>
          </w:tcPr>
          <w:p w14:paraId="06A0E5E0"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84,438,081</w:t>
            </w:r>
          </w:p>
        </w:tc>
      </w:tr>
    </w:tbl>
    <w:p w14:paraId="32EEAD0E" w14:textId="77777777" w:rsidR="009353D9" w:rsidRPr="0021749F" w:rsidRDefault="0021749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21749F">
        <w:rPr>
          <w:rFonts w:ascii="Arial" w:hAnsi="Arial"/>
          <w:color w:val="auto"/>
          <w:sz w:val="20"/>
        </w:rPr>
        <w:t>Expected plan for profit distribution and dividend payment in 2024</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6269"/>
        <w:gridCol w:w="2027"/>
      </w:tblGrid>
      <w:tr w:rsidR="0021749F" w:rsidRPr="0021749F" w14:paraId="44A221BD" w14:textId="77777777">
        <w:tc>
          <w:tcPr>
            <w:tcW w:w="721" w:type="dxa"/>
            <w:shd w:val="clear" w:color="auto" w:fill="auto"/>
            <w:tcMar>
              <w:top w:w="0" w:type="dxa"/>
              <w:bottom w:w="0" w:type="dxa"/>
            </w:tcMar>
            <w:vAlign w:val="center"/>
          </w:tcPr>
          <w:p w14:paraId="0971CCD4"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No.</w:t>
            </w:r>
          </w:p>
        </w:tc>
        <w:tc>
          <w:tcPr>
            <w:tcW w:w="6269" w:type="dxa"/>
            <w:shd w:val="clear" w:color="auto" w:fill="auto"/>
            <w:tcMar>
              <w:top w:w="0" w:type="dxa"/>
              <w:bottom w:w="0" w:type="dxa"/>
            </w:tcMar>
            <w:vAlign w:val="center"/>
          </w:tcPr>
          <w:p w14:paraId="6DCB933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Content</w:t>
            </w:r>
          </w:p>
        </w:tc>
        <w:tc>
          <w:tcPr>
            <w:tcW w:w="2027" w:type="dxa"/>
            <w:shd w:val="clear" w:color="auto" w:fill="auto"/>
            <w:tcMar>
              <w:top w:w="0" w:type="dxa"/>
              <w:bottom w:w="0" w:type="dxa"/>
            </w:tcMar>
            <w:vAlign w:val="center"/>
          </w:tcPr>
          <w:p w14:paraId="35DB99A5"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Amount (VND)</w:t>
            </w:r>
          </w:p>
        </w:tc>
      </w:tr>
      <w:tr w:rsidR="0021749F" w:rsidRPr="0021749F" w14:paraId="3510FD4B" w14:textId="77777777">
        <w:tc>
          <w:tcPr>
            <w:tcW w:w="721" w:type="dxa"/>
            <w:shd w:val="clear" w:color="auto" w:fill="auto"/>
            <w:tcMar>
              <w:top w:w="0" w:type="dxa"/>
              <w:bottom w:w="0" w:type="dxa"/>
            </w:tcMar>
            <w:vAlign w:val="center"/>
          </w:tcPr>
          <w:p w14:paraId="1AF51E7D"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6269" w:type="dxa"/>
            <w:shd w:val="clear" w:color="auto" w:fill="auto"/>
            <w:tcMar>
              <w:top w:w="0" w:type="dxa"/>
              <w:bottom w:w="0" w:type="dxa"/>
            </w:tcMar>
            <w:vAlign w:val="center"/>
          </w:tcPr>
          <w:p w14:paraId="489F582F"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Total revenue</w:t>
            </w:r>
          </w:p>
        </w:tc>
        <w:tc>
          <w:tcPr>
            <w:tcW w:w="2027" w:type="dxa"/>
            <w:shd w:val="clear" w:color="auto" w:fill="auto"/>
            <w:tcMar>
              <w:top w:w="0" w:type="dxa"/>
              <w:bottom w:w="0" w:type="dxa"/>
            </w:tcMar>
            <w:vAlign w:val="center"/>
          </w:tcPr>
          <w:p w14:paraId="2406D473"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68,333,000,000</w:t>
            </w:r>
          </w:p>
        </w:tc>
      </w:tr>
      <w:tr w:rsidR="0021749F" w:rsidRPr="0021749F" w14:paraId="5DDAC95C" w14:textId="77777777">
        <w:tc>
          <w:tcPr>
            <w:tcW w:w="721" w:type="dxa"/>
            <w:shd w:val="clear" w:color="auto" w:fill="auto"/>
            <w:tcMar>
              <w:top w:w="0" w:type="dxa"/>
              <w:bottom w:w="0" w:type="dxa"/>
            </w:tcMar>
            <w:vAlign w:val="center"/>
          </w:tcPr>
          <w:p w14:paraId="67D204F4"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w:t>
            </w:r>
          </w:p>
        </w:tc>
        <w:tc>
          <w:tcPr>
            <w:tcW w:w="6269" w:type="dxa"/>
            <w:shd w:val="clear" w:color="auto" w:fill="auto"/>
            <w:tcMar>
              <w:top w:w="0" w:type="dxa"/>
              <w:bottom w:w="0" w:type="dxa"/>
            </w:tcMar>
            <w:vAlign w:val="center"/>
          </w:tcPr>
          <w:p w14:paraId="7F14F541"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Total profit before tax</w:t>
            </w:r>
          </w:p>
        </w:tc>
        <w:tc>
          <w:tcPr>
            <w:tcW w:w="2027" w:type="dxa"/>
            <w:shd w:val="clear" w:color="auto" w:fill="auto"/>
            <w:tcMar>
              <w:top w:w="0" w:type="dxa"/>
              <w:bottom w:w="0" w:type="dxa"/>
            </w:tcMar>
            <w:vAlign w:val="center"/>
          </w:tcPr>
          <w:p w14:paraId="6211BF0A"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5,842,500,000</w:t>
            </w:r>
          </w:p>
        </w:tc>
      </w:tr>
      <w:tr w:rsidR="0021749F" w:rsidRPr="0021749F" w14:paraId="596D8FF3" w14:textId="77777777">
        <w:tc>
          <w:tcPr>
            <w:tcW w:w="721" w:type="dxa"/>
            <w:shd w:val="clear" w:color="auto" w:fill="auto"/>
            <w:tcMar>
              <w:top w:w="0" w:type="dxa"/>
              <w:bottom w:w="0" w:type="dxa"/>
            </w:tcMar>
            <w:vAlign w:val="center"/>
          </w:tcPr>
          <w:p w14:paraId="2D6BA963"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lastRenderedPageBreak/>
              <w:t>3</w:t>
            </w:r>
          </w:p>
        </w:tc>
        <w:tc>
          <w:tcPr>
            <w:tcW w:w="6269" w:type="dxa"/>
            <w:shd w:val="clear" w:color="auto" w:fill="auto"/>
            <w:tcMar>
              <w:top w:w="0" w:type="dxa"/>
              <w:bottom w:w="0" w:type="dxa"/>
            </w:tcMar>
            <w:vAlign w:val="center"/>
          </w:tcPr>
          <w:p w14:paraId="164E0213"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Profit after tax</w:t>
            </w:r>
          </w:p>
        </w:tc>
        <w:tc>
          <w:tcPr>
            <w:tcW w:w="2027" w:type="dxa"/>
            <w:shd w:val="clear" w:color="auto" w:fill="auto"/>
            <w:tcMar>
              <w:top w:w="0" w:type="dxa"/>
              <w:bottom w:w="0" w:type="dxa"/>
            </w:tcMar>
            <w:vAlign w:val="center"/>
          </w:tcPr>
          <w:p w14:paraId="49B254D7"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4,674,000,000</w:t>
            </w:r>
          </w:p>
        </w:tc>
      </w:tr>
      <w:tr w:rsidR="0021749F" w:rsidRPr="0021749F" w14:paraId="0F1CC9C0" w14:textId="77777777">
        <w:tc>
          <w:tcPr>
            <w:tcW w:w="721" w:type="dxa"/>
            <w:shd w:val="clear" w:color="auto" w:fill="auto"/>
            <w:tcMar>
              <w:top w:w="0" w:type="dxa"/>
              <w:bottom w:w="0" w:type="dxa"/>
            </w:tcMar>
            <w:vAlign w:val="center"/>
          </w:tcPr>
          <w:p w14:paraId="5B3840EE"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4</w:t>
            </w:r>
          </w:p>
        </w:tc>
        <w:tc>
          <w:tcPr>
            <w:tcW w:w="6269" w:type="dxa"/>
            <w:shd w:val="clear" w:color="auto" w:fill="auto"/>
            <w:tcMar>
              <w:top w:w="0" w:type="dxa"/>
              <w:bottom w:w="0" w:type="dxa"/>
            </w:tcMar>
            <w:vAlign w:val="center"/>
          </w:tcPr>
          <w:p w14:paraId="181FDAA2"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Expected to distribute dividends to shareholders at the rate of 5.0% of the owner's contributed capital (equivalent to VND 500/share)</w:t>
            </w:r>
          </w:p>
        </w:tc>
        <w:tc>
          <w:tcPr>
            <w:tcW w:w="2027" w:type="dxa"/>
            <w:shd w:val="clear" w:color="auto" w:fill="auto"/>
            <w:tcMar>
              <w:top w:w="0" w:type="dxa"/>
              <w:bottom w:w="0" w:type="dxa"/>
            </w:tcMar>
            <w:vAlign w:val="center"/>
          </w:tcPr>
          <w:p w14:paraId="1913291C"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4,466,600,000</w:t>
            </w:r>
          </w:p>
        </w:tc>
      </w:tr>
      <w:tr w:rsidR="0021749F" w:rsidRPr="0021749F" w14:paraId="749471CA" w14:textId="77777777">
        <w:tc>
          <w:tcPr>
            <w:tcW w:w="721" w:type="dxa"/>
            <w:shd w:val="clear" w:color="auto" w:fill="auto"/>
            <w:tcMar>
              <w:top w:w="0" w:type="dxa"/>
              <w:bottom w:w="0" w:type="dxa"/>
            </w:tcMar>
            <w:vAlign w:val="center"/>
          </w:tcPr>
          <w:p w14:paraId="5E74958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5</w:t>
            </w:r>
          </w:p>
        </w:tc>
        <w:tc>
          <w:tcPr>
            <w:tcW w:w="6269" w:type="dxa"/>
            <w:shd w:val="clear" w:color="auto" w:fill="auto"/>
            <w:tcMar>
              <w:top w:w="0" w:type="dxa"/>
              <w:bottom w:w="0" w:type="dxa"/>
            </w:tcMar>
            <w:vAlign w:val="center"/>
          </w:tcPr>
          <w:p w14:paraId="39994086"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Welfare fund:</w:t>
            </w:r>
          </w:p>
        </w:tc>
        <w:tc>
          <w:tcPr>
            <w:tcW w:w="2027" w:type="dxa"/>
            <w:shd w:val="clear" w:color="auto" w:fill="auto"/>
            <w:tcMar>
              <w:top w:w="0" w:type="dxa"/>
              <w:bottom w:w="0" w:type="dxa"/>
            </w:tcMar>
            <w:vAlign w:val="center"/>
          </w:tcPr>
          <w:p w14:paraId="474D1E69" w14:textId="77777777" w:rsidR="009353D9" w:rsidRPr="0021749F" w:rsidRDefault="0021749F" w:rsidP="001133B7">
            <w:pPr>
              <w:pBdr>
                <w:top w:val="nil"/>
                <w:left w:val="nil"/>
                <w:bottom w:val="nil"/>
                <w:right w:val="nil"/>
                <w:between w:val="nil"/>
              </w:pBdr>
              <w:tabs>
                <w:tab w:val="left" w:pos="432"/>
              </w:tabs>
              <w:spacing w:after="120" w:line="360" w:lineRule="auto"/>
              <w:jc w:val="right"/>
              <w:rPr>
                <w:rFonts w:ascii="Arial" w:eastAsia="Arial" w:hAnsi="Arial" w:cs="Arial"/>
                <w:color w:val="auto"/>
                <w:sz w:val="20"/>
                <w:szCs w:val="20"/>
              </w:rPr>
            </w:pPr>
            <w:r w:rsidRPr="0021749F">
              <w:rPr>
                <w:rFonts w:ascii="Arial" w:hAnsi="Arial"/>
                <w:color w:val="auto"/>
                <w:sz w:val="20"/>
              </w:rPr>
              <w:t>207,400,000</w:t>
            </w:r>
          </w:p>
        </w:tc>
      </w:tr>
    </w:tbl>
    <w:p w14:paraId="7DDE55CE"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‎‎Article 6. Approve the remuneration of members of the Board of Directors, Supervisory Board, and Company Secretariat in 2023; expected in 2024 of Tuyen Quang Water Supply and Sewerage Joint Stock Company.</w:t>
      </w:r>
    </w:p>
    <w:p w14:paraId="558EB0C0" w14:textId="77777777" w:rsidR="009353D9" w:rsidRPr="0021749F" w:rsidRDefault="0021749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21749F">
        <w:rPr>
          <w:rFonts w:ascii="Arial" w:hAnsi="Arial"/>
          <w:color w:val="auto"/>
          <w:sz w:val="20"/>
        </w:rPr>
        <w:t>Remuneration in 2023</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362"/>
        <w:gridCol w:w="994"/>
        <w:gridCol w:w="1746"/>
        <w:gridCol w:w="3380"/>
      </w:tblGrid>
      <w:tr w:rsidR="0021749F" w:rsidRPr="0021749F" w14:paraId="75E6ED0C" w14:textId="77777777">
        <w:tc>
          <w:tcPr>
            <w:tcW w:w="535" w:type="dxa"/>
            <w:shd w:val="clear" w:color="auto" w:fill="auto"/>
            <w:tcMar>
              <w:top w:w="0" w:type="dxa"/>
              <w:bottom w:w="0" w:type="dxa"/>
            </w:tcMar>
            <w:vAlign w:val="center"/>
          </w:tcPr>
          <w:p w14:paraId="5E1FABC3"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No.</w:t>
            </w:r>
          </w:p>
        </w:tc>
        <w:tc>
          <w:tcPr>
            <w:tcW w:w="2362" w:type="dxa"/>
            <w:shd w:val="clear" w:color="auto" w:fill="auto"/>
            <w:tcMar>
              <w:top w:w="0" w:type="dxa"/>
              <w:bottom w:w="0" w:type="dxa"/>
            </w:tcMar>
            <w:vAlign w:val="center"/>
          </w:tcPr>
          <w:p w14:paraId="000D34E8"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Position</w:t>
            </w:r>
          </w:p>
        </w:tc>
        <w:tc>
          <w:tcPr>
            <w:tcW w:w="994" w:type="dxa"/>
            <w:shd w:val="clear" w:color="auto" w:fill="auto"/>
            <w:tcMar>
              <w:top w:w="0" w:type="dxa"/>
              <w:bottom w:w="0" w:type="dxa"/>
            </w:tcMar>
            <w:vAlign w:val="center"/>
          </w:tcPr>
          <w:p w14:paraId="15B34C53"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Number (person)</w:t>
            </w:r>
          </w:p>
        </w:tc>
        <w:tc>
          <w:tcPr>
            <w:tcW w:w="1746" w:type="dxa"/>
            <w:shd w:val="clear" w:color="auto" w:fill="auto"/>
            <w:tcMar>
              <w:top w:w="0" w:type="dxa"/>
              <w:bottom w:w="0" w:type="dxa"/>
            </w:tcMar>
            <w:vAlign w:val="center"/>
          </w:tcPr>
          <w:p w14:paraId="1A83CDCB"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Remuneration in 2023 (VND/person/month)</w:t>
            </w:r>
          </w:p>
        </w:tc>
        <w:tc>
          <w:tcPr>
            <w:tcW w:w="3380" w:type="dxa"/>
            <w:shd w:val="clear" w:color="auto" w:fill="auto"/>
            <w:tcMar>
              <w:top w:w="0" w:type="dxa"/>
              <w:bottom w:w="0" w:type="dxa"/>
            </w:tcMar>
            <w:vAlign w:val="center"/>
          </w:tcPr>
          <w:p w14:paraId="4D7AAA5F"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Note</w:t>
            </w:r>
          </w:p>
        </w:tc>
      </w:tr>
      <w:tr w:rsidR="0021749F" w:rsidRPr="0021749F" w14:paraId="670762A4" w14:textId="77777777">
        <w:tc>
          <w:tcPr>
            <w:tcW w:w="535" w:type="dxa"/>
            <w:shd w:val="clear" w:color="auto" w:fill="auto"/>
            <w:tcMar>
              <w:top w:w="0" w:type="dxa"/>
              <w:bottom w:w="0" w:type="dxa"/>
            </w:tcMar>
            <w:vAlign w:val="center"/>
          </w:tcPr>
          <w:p w14:paraId="3720DA9F"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w:t>
            </w:r>
          </w:p>
        </w:tc>
        <w:tc>
          <w:tcPr>
            <w:tcW w:w="2362" w:type="dxa"/>
            <w:shd w:val="clear" w:color="auto" w:fill="auto"/>
            <w:tcMar>
              <w:top w:w="0" w:type="dxa"/>
              <w:bottom w:w="0" w:type="dxa"/>
            </w:tcMar>
            <w:vAlign w:val="center"/>
          </w:tcPr>
          <w:p w14:paraId="026FE9F2"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The Board of Directors:</w:t>
            </w:r>
          </w:p>
        </w:tc>
        <w:tc>
          <w:tcPr>
            <w:tcW w:w="994" w:type="dxa"/>
            <w:shd w:val="clear" w:color="auto" w:fill="auto"/>
            <w:tcMar>
              <w:top w:w="0" w:type="dxa"/>
              <w:bottom w:w="0" w:type="dxa"/>
            </w:tcMar>
            <w:vAlign w:val="center"/>
          </w:tcPr>
          <w:p w14:paraId="1A6E96C6"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06</w:t>
            </w:r>
          </w:p>
        </w:tc>
        <w:tc>
          <w:tcPr>
            <w:tcW w:w="1746" w:type="dxa"/>
            <w:shd w:val="clear" w:color="auto" w:fill="auto"/>
            <w:tcMar>
              <w:top w:w="0" w:type="dxa"/>
              <w:bottom w:w="0" w:type="dxa"/>
            </w:tcMar>
            <w:vAlign w:val="center"/>
          </w:tcPr>
          <w:p w14:paraId="1F9AE3B4" w14:textId="77777777" w:rsidR="009353D9" w:rsidRPr="0021749F" w:rsidRDefault="009353D9" w:rsidP="001133B7">
            <w:pPr>
              <w:tabs>
                <w:tab w:val="left" w:pos="432"/>
              </w:tabs>
              <w:spacing w:after="120" w:line="360" w:lineRule="auto"/>
              <w:jc w:val="center"/>
              <w:rPr>
                <w:rFonts w:ascii="Arial" w:eastAsia="Arial" w:hAnsi="Arial" w:cs="Arial"/>
                <w:color w:val="auto"/>
                <w:sz w:val="20"/>
                <w:szCs w:val="20"/>
              </w:rPr>
            </w:pPr>
          </w:p>
        </w:tc>
        <w:tc>
          <w:tcPr>
            <w:tcW w:w="3380" w:type="dxa"/>
            <w:shd w:val="clear" w:color="auto" w:fill="auto"/>
            <w:tcMar>
              <w:top w:w="0" w:type="dxa"/>
              <w:bottom w:w="0" w:type="dxa"/>
            </w:tcMar>
            <w:vAlign w:val="center"/>
          </w:tcPr>
          <w:p w14:paraId="141E3C99"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7AF8D300" w14:textId="77777777">
        <w:tc>
          <w:tcPr>
            <w:tcW w:w="535" w:type="dxa"/>
            <w:shd w:val="clear" w:color="auto" w:fill="auto"/>
            <w:tcMar>
              <w:top w:w="0" w:type="dxa"/>
              <w:bottom w:w="0" w:type="dxa"/>
            </w:tcMar>
            <w:vAlign w:val="center"/>
          </w:tcPr>
          <w:p w14:paraId="21601C19"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2362" w:type="dxa"/>
            <w:shd w:val="clear" w:color="auto" w:fill="auto"/>
            <w:tcMar>
              <w:top w:w="0" w:type="dxa"/>
              <w:bottom w:w="0" w:type="dxa"/>
            </w:tcMar>
            <w:vAlign w:val="center"/>
          </w:tcPr>
          <w:p w14:paraId="7F22C1D8"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Chair of the Board of Directors</w:t>
            </w:r>
          </w:p>
        </w:tc>
        <w:tc>
          <w:tcPr>
            <w:tcW w:w="994" w:type="dxa"/>
            <w:shd w:val="clear" w:color="auto" w:fill="auto"/>
            <w:tcMar>
              <w:top w:w="0" w:type="dxa"/>
              <w:bottom w:w="0" w:type="dxa"/>
            </w:tcMar>
            <w:vAlign w:val="center"/>
          </w:tcPr>
          <w:p w14:paraId="737388B5"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01</w:t>
            </w:r>
          </w:p>
        </w:tc>
        <w:tc>
          <w:tcPr>
            <w:tcW w:w="1746" w:type="dxa"/>
            <w:shd w:val="clear" w:color="auto" w:fill="auto"/>
            <w:tcMar>
              <w:top w:w="0" w:type="dxa"/>
              <w:bottom w:w="0" w:type="dxa"/>
            </w:tcMar>
            <w:vAlign w:val="center"/>
          </w:tcPr>
          <w:p w14:paraId="325070BB"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w:t>
            </w:r>
          </w:p>
        </w:tc>
        <w:tc>
          <w:tcPr>
            <w:tcW w:w="3380" w:type="dxa"/>
            <w:shd w:val="clear" w:color="auto" w:fill="auto"/>
            <w:tcMar>
              <w:top w:w="0" w:type="dxa"/>
              <w:bottom w:w="0" w:type="dxa"/>
            </w:tcMar>
            <w:vAlign w:val="center"/>
          </w:tcPr>
          <w:p w14:paraId="53017BD7" w14:textId="153133B8"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The Chair of the Board of Directors receives a</w:t>
            </w:r>
            <w:r w:rsidR="001133B7">
              <w:rPr>
                <w:rFonts w:ascii="Arial" w:hAnsi="Arial"/>
                <w:color w:val="auto"/>
                <w:sz w:val="20"/>
              </w:rPr>
              <w:t>n</w:t>
            </w:r>
            <w:r w:rsidRPr="0021749F">
              <w:rPr>
                <w:rFonts w:ascii="Arial" w:hAnsi="Arial"/>
                <w:color w:val="auto"/>
                <w:sz w:val="20"/>
              </w:rPr>
              <w:t xml:space="preserve"> executive salary according to the Salary Regulations for company managers; not receiving remuneration.</w:t>
            </w:r>
          </w:p>
        </w:tc>
      </w:tr>
      <w:tr w:rsidR="0021749F" w:rsidRPr="0021749F" w14:paraId="45C63C79" w14:textId="77777777">
        <w:tc>
          <w:tcPr>
            <w:tcW w:w="535" w:type="dxa"/>
            <w:shd w:val="clear" w:color="auto" w:fill="auto"/>
            <w:tcMar>
              <w:top w:w="0" w:type="dxa"/>
              <w:bottom w:w="0" w:type="dxa"/>
            </w:tcMar>
            <w:vAlign w:val="center"/>
          </w:tcPr>
          <w:p w14:paraId="36C3966B"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w:t>
            </w:r>
          </w:p>
        </w:tc>
        <w:tc>
          <w:tcPr>
            <w:tcW w:w="2362" w:type="dxa"/>
            <w:shd w:val="clear" w:color="auto" w:fill="auto"/>
            <w:tcMar>
              <w:top w:w="0" w:type="dxa"/>
              <w:bottom w:w="0" w:type="dxa"/>
            </w:tcMar>
            <w:vAlign w:val="center"/>
          </w:tcPr>
          <w:p w14:paraId="086E649C"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Member of the Board of Directors</w:t>
            </w:r>
          </w:p>
        </w:tc>
        <w:tc>
          <w:tcPr>
            <w:tcW w:w="994" w:type="dxa"/>
            <w:shd w:val="clear" w:color="auto" w:fill="auto"/>
            <w:tcMar>
              <w:top w:w="0" w:type="dxa"/>
              <w:bottom w:w="0" w:type="dxa"/>
            </w:tcMar>
            <w:vAlign w:val="center"/>
          </w:tcPr>
          <w:p w14:paraId="0E167111"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05</w:t>
            </w:r>
          </w:p>
        </w:tc>
        <w:tc>
          <w:tcPr>
            <w:tcW w:w="1746" w:type="dxa"/>
            <w:shd w:val="clear" w:color="auto" w:fill="auto"/>
            <w:tcMar>
              <w:top w:w="0" w:type="dxa"/>
              <w:bottom w:w="0" w:type="dxa"/>
            </w:tcMar>
            <w:vAlign w:val="center"/>
          </w:tcPr>
          <w:p w14:paraId="0DFC5C1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2,500,000</w:t>
            </w:r>
          </w:p>
        </w:tc>
        <w:tc>
          <w:tcPr>
            <w:tcW w:w="3380" w:type="dxa"/>
            <w:shd w:val="clear" w:color="auto" w:fill="auto"/>
            <w:tcMar>
              <w:top w:w="0" w:type="dxa"/>
              <w:bottom w:w="0" w:type="dxa"/>
            </w:tcMar>
            <w:vAlign w:val="center"/>
          </w:tcPr>
          <w:p w14:paraId="256599B3"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1433CBF5" w14:textId="77777777">
        <w:tc>
          <w:tcPr>
            <w:tcW w:w="535" w:type="dxa"/>
            <w:shd w:val="clear" w:color="auto" w:fill="auto"/>
            <w:tcMar>
              <w:top w:w="0" w:type="dxa"/>
              <w:bottom w:w="0" w:type="dxa"/>
            </w:tcMar>
            <w:vAlign w:val="center"/>
          </w:tcPr>
          <w:p w14:paraId="610ABCA1"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II</w:t>
            </w:r>
          </w:p>
        </w:tc>
        <w:tc>
          <w:tcPr>
            <w:tcW w:w="2362" w:type="dxa"/>
            <w:shd w:val="clear" w:color="auto" w:fill="auto"/>
            <w:tcMar>
              <w:top w:w="0" w:type="dxa"/>
              <w:bottom w:w="0" w:type="dxa"/>
            </w:tcMar>
            <w:vAlign w:val="center"/>
          </w:tcPr>
          <w:p w14:paraId="73F3620C"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 xml:space="preserve">The Supervisory Board </w:t>
            </w:r>
          </w:p>
        </w:tc>
        <w:tc>
          <w:tcPr>
            <w:tcW w:w="994" w:type="dxa"/>
            <w:shd w:val="clear" w:color="auto" w:fill="auto"/>
            <w:tcMar>
              <w:top w:w="0" w:type="dxa"/>
              <w:bottom w:w="0" w:type="dxa"/>
            </w:tcMar>
            <w:vAlign w:val="center"/>
          </w:tcPr>
          <w:p w14:paraId="5B056656"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03</w:t>
            </w:r>
          </w:p>
        </w:tc>
        <w:tc>
          <w:tcPr>
            <w:tcW w:w="1746" w:type="dxa"/>
            <w:shd w:val="clear" w:color="auto" w:fill="auto"/>
            <w:tcMar>
              <w:top w:w="0" w:type="dxa"/>
              <w:bottom w:w="0" w:type="dxa"/>
            </w:tcMar>
            <w:vAlign w:val="center"/>
          </w:tcPr>
          <w:p w14:paraId="7933D45F" w14:textId="77777777" w:rsidR="009353D9" w:rsidRPr="0021749F" w:rsidRDefault="009353D9" w:rsidP="001133B7">
            <w:pPr>
              <w:tabs>
                <w:tab w:val="left" w:pos="432"/>
              </w:tabs>
              <w:spacing w:after="120" w:line="360" w:lineRule="auto"/>
              <w:jc w:val="center"/>
              <w:rPr>
                <w:rFonts w:ascii="Arial" w:eastAsia="Arial" w:hAnsi="Arial" w:cs="Arial"/>
                <w:color w:val="auto"/>
                <w:sz w:val="20"/>
                <w:szCs w:val="20"/>
              </w:rPr>
            </w:pPr>
          </w:p>
        </w:tc>
        <w:tc>
          <w:tcPr>
            <w:tcW w:w="3380" w:type="dxa"/>
            <w:shd w:val="clear" w:color="auto" w:fill="auto"/>
            <w:tcMar>
              <w:top w:w="0" w:type="dxa"/>
              <w:bottom w:w="0" w:type="dxa"/>
            </w:tcMar>
            <w:vAlign w:val="center"/>
          </w:tcPr>
          <w:p w14:paraId="54672643"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436D03DF" w14:textId="77777777">
        <w:tc>
          <w:tcPr>
            <w:tcW w:w="535" w:type="dxa"/>
            <w:shd w:val="clear" w:color="auto" w:fill="auto"/>
            <w:tcMar>
              <w:top w:w="0" w:type="dxa"/>
              <w:bottom w:w="0" w:type="dxa"/>
            </w:tcMar>
            <w:vAlign w:val="center"/>
          </w:tcPr>
          <w:p w14:paraId="222433E6"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2362" w:type="dxa"/>
            <w:shd w:val="clear" w:color="auto" w:fill="auto"/>
            <w:tcMar>
              <w:top w:w="0" w:type="dxa"/>
              <w:bottom w:w="0" w:type="dxa"/>
            </w:tcMar>
            <w:vAlign w:val="center"/>
          </w:tcPr>
          <w:p w14:paraId="61E7B361"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Chief of the Supervisory Board</w:t>
            </w:r>
          </w:p>
        </w:tc>
        <w:tc>
          <w:tcPr>
            <w:tcW w:w="994" w:type="dxa"/>
            <w:shd w:val="clear" w:color="auto" w:fill="auto"/>
            <w:tcMar>
              <w:top w:w="0" w:type="dxa"/>
              <w:bottom w:w="0" w:type="dxa"/>
            </w:tcMar>
            <w:vAlign w:val="center"/>
          </w:tcPr>
          <w:p w14:paraId="10D96C41"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01</w:t>
            </w:r>
          </w:p>
        </w:tc>
        <w:tc>
          <w:tcPr>
            <w:tcW w:w="1746" w:type="dxa"/>
            <w:shd w:val="clear" w:color="auto" w:fill="auto"/>
            <w:tcMar>
              <w:top w:w="0" w:type="dxa"/>
              <w:bottom w:w="0" w:type="dxa"/>
            </w:tcMar>
            <w:vAlign w:val="center"/>
          </w:tcPr>
          <w:p w14:paraId="001AAF31"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2,500,000</w:t>
            </w:r>
          </w:p>
        </w:tc>
        <w:tc>
          <w:tcPr>
            <w:tcW w:w="3380" w:type="dxa"/>
            <w:shd w:val="clear" w:color="auto" w:fill="auto"/>
            <w:tcMar>
              <w:top w:w="0" w:type="dxa"/>
              <w:bottom w:w="0" w:type="dxa"/>
            </w:tcMar>
            <w:vAlign w:val="center"/>
          </w:tcPr>
          <w:p w14:paraId="1ABF9969"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6DB75843" w14:textId="77777777">
        <w:tc>
          <w:tcPr>
            <w:tcW w:w="535" w:type="dxa"/>
            <w:shd w:val="clear" w:color="auto" w:fill="auto"/>
            <w:tcMar>
              <w:top w:w="0" w:type="dxa"/>
              <w:bottom w:w="0" w:type="dxa"/>
            </w:tcMar>
            <w:vAlign w:val="center"/>
          </w:tcPr>
          <w:p w14:paraId="483A691D"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w:t>
            </w:r>
          </w:p>
        </w:tc>
        <w:tc>
          <w:tcPr>
            <w:tcW w:w="2362" w:type="dxa"/>
            <w:shd w:val="clear" w:color="auto" w:fill="auto"/>
            <w:tcMar>
              <w:top w:w="0" w:type="dxa"/>
              <w:bottom w:w="0" w:type="dxa"/>
            </w:tcMar>
            <w:vAlign w:val="center"/>
          </w:tcPr>
          <w:p w14:paraId="03DF54FB"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Members of the Supervisory Board:</w:t>
            </w:r>
          </w:p>
        </w:tc>
        <w:tc>
          <w:tcPr>
            <w:tcW w:w="994" w:type="dxa"/>
            <w:shd w:val="clear" w:color="auto" w:fill="auto"/>
            <w:tcMar>
              <w:top w:w="0" w:type="dxa"/>
              <w:bottom w:w="0" w:type="dxa"/>
            </w:tcMar>
            <w:vAlign w:val="center"/>
          </w:tcPr>
          <w:p w14:paraId="29CBD3B0"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02</w:t>
            </w:r>
          </w:p>
        </w:tc>
        <w:tc>
          <w:tcPr>
            <w:tcW w:w="1746" w:type="dxa"/>
            <w:shd w:val="clear" w:color="auto" w:fill="auto"/>
            <w:tcMar>
              <w:top w:w="0" w:type="dxa"/>
              <w:bottom w:w="0" w:type="dxa"/>
            </w:tcMar>
            <w:vAlign w:val="center"/>
          </w:tcPr>
          <w:p w14:paraId="0B84CAC0"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1,800,000</w:t>
            </w:r>
          </w:p>
        </w:tc>
        <w:tc>
          <w:tcPr>
            <w:tcW w:w="3380" w:type="dxa"/>
            <w:shd w:val="clear" w:color="auto" w:fill="auto"/>
            <w:tcMar>
              <w:top w:w="0" w:type="dxa"/>
              <w:bottom w:w="0" w:type="dxa"/>
            </w:tcMar>
            <w:vAlign w:val="center"/>
          </w:tcPr>
          <w:p w14:paraId="0062E9FE"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0664A804" w14:textId="77777777">
        <w:tc>
          <w:tcPr>
            <w:tcW w:w="535" w:type="dxa"/>
            <w:shd w:val="clear" w:color="auto" w:fill="auto"/>
            <w:tcMar>
              <w:top w:w="0" w:type="dxa"/>
              <w:bottom w:w="0" w:type="dxa"/>
            </w:tcMar>
            <w:vAlign w:val="center"/>
          </w:tcPr>
          <w:p w14:paraId="2DC1FBE0"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III</w:t>
            </w:r>
          </w:p>
        </w:tc>
        <w:tc>
          <w:tcPr>
            <w:tcW w:w="2362" w:type="dxa"/>
            <w:shd w:val="clear" w:color="auto" w:fill="auto"/>
            <w:tcMar>
              <w:top w:w="0" w:type="dxa"/>
              <w:bottom w:w="0" w:type="dxa"/>
            </w:tcMar>
            <w:vAlign w:val="center"/>
          </w:tcPr>
          <w:p w14:paraId="05E89A11"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Company Secretariat:</w:t>
            </w:r>
          </w:p>
        </w:tc>
        <w:tc>
          <w:tcPr>
            <w:tcW w:w="994" w:type="dxa"/>
            <w:shd w:val="clear" w:color="auto" w:fill="auto"/>
            <w:tcMar>
              <w:top w:w="0" w:type="dxa"/>
              <w:bottom w:w="0" w:type="dxa"/>
            </w:tcMar>
            <w:vAlign w:val="center"/>
          </w:tcPr>
          <w:p w14:paraId="476B41E9"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01</w:t>
            </w:r>
          </w:p>
        </w:tc>
        <w:tc>
          <w:tcPr>
            <w:tcW w:w="1746" w:type="dxa"/>
            <w:shd w:val="clear" w:color="auto" w:fill="auto"/>
            <w:tcMar>
              <w:top w:w="0" w:type="dxa"/>
              <w:bottom w:w="0" w:type="dxa"/>
            </w:tcMar>
            <w:vAlign w:val="center"/>
          </w:tcPr>
          <w:p w14:paraId="78CC6946"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1,800,000</w:t>
            </w:r>
          </w:p>
        </w:tc>
        <w:tc>
          <w:tcPr>
            <w:tcW w:w="3380" w:type="dxa"/>
            <w:shd w:val="clear" w:color="auto" w:fill="auto"/>
            <w:tcMar>
              <w:top w:w="0" w:type="dxa"/>
              <w:bottom w:w="0" w:type="dxa"/>
            </w:tcMar>
            <w:vAlign w:val="center"/>
          </w:tcPr>
          <w:p w14:paraId="54EF9645" w14:textId="77777777" w:rsidR="009353D9" w:rsidRPr="0021749F" w:rsidRDefault="009353D9">
            <w:pPr>
              <w:tabs>
                <w:tab w:val="left" w:pos="432"/>
              </w:tabs>
              <w:spacing w:after="120" w:line="360" w:lineRule="auto"/>
              <w:rPr>
                <w:rFonts w:ascii="Arial" w:eastAsia="Arial" w:hAnsi="Arial" w:cs="Arial"/>
                <w:color w:val="auto"/>
                <w:sz w:val="20"/>
                <w:szCs w:val="20"/>
              </w:rPr>
            </w:pPr>
          </w:p>
        </w:tc>
      </w:tr>
    </w:tbl>
    <w:p w14:paraId="5E8E57D9" w14:textId="77777777" w:rsidR="009353D9" w:rsidRPr="0021749F" w:rsidRDefault="0021749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21749F">
        <w:rPr>
          <w:rFonts w:ascii="Arial" w:hAnsi="Arial"/>
          <w:color w:val="auto"/>
          <w:sz w:val="20"/>
        </w:rPr>
        <w:t>Expected remuneration in 2024:</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321"/>
        <w:gridCol w:w="1004"/>
        <w:gridCol w:w="1746"/>
        <w:gridCol w:w="3376"/>
      </w:tblGrid>
      <w:tr w:rsidR="0021749F" w:rsidRPr="0021749F" w14:paraId="02D0638E" w14:textId="77777777">
        <w:tc>
          <w:tcPr>
            <w:tcW w:w="570" w:type="dxa"/>
            <w:shd w:val="clear" w:color="auto" w:fill="auto"/>
            <w:tcMar>
              <w:top w:w="0" w:type="dxa"/>
              <w:bottom w:w="0" w:type="dxa"/>
            </w:tcMar>
            <w:vAlign w:val="center"/>
          </w:tcPr>
          <w:p w14:paraId="15CD1B18"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No.</w:t>
            </w:r>
          </w:p>
        </w:tc>
        <w:tc>
          <w:tcPr>
            <w:tcW w:w="2321" w:type="dxa"/>
            <w:shd w:val="clear" w:color="auto" w:fill="auto"/>
            <w:tcMar>
              <w:top w:w="0" w:type="dxa"/>
              <w:bottom w:w="0" w:type="dxa"/>
            </w:tcMar>
            <w:vAlign w:val="center"/>
          </w:tcPr>
          <w:p w14:paraId="78951379"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Position</w:t>
            </w:r>
          </w:p>
        </w:tc>
        <w:tc>
          <w:tcPr>
            <w:tcW w:w="1004" w:type="dxa"/>
            <w:shd w:val="clear" w:color="auto" w:fill="auto"/>
            <w:tcMar>
              <w:top w:w="0" w:type="dxa"/>
              <w:bottom w:w="0" w:type="dxa"/>
            </w:tcMar>
            <w:vAlign w:val="center"/>
          </w:tcPr>
          <w:p w14:paraId="0A190C29"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Quantity</w:t>
            </w:r>
          </w:p>
        </w:tc>
        <w:tc>
          <w:tcPr>
            <w:tcW w:w="1746" w:type="dxa"/>
            <w:shd w:val="clear" w:color="auto" w:fill="auto"/>
            <w:tcMar>
              <w:top w:w="0" w:type="dxa"/>
              <w:bottom w:w="0" w:type="dxa"/>
            </w:tcMar>
            <w:vAlign w:val="center"/>
          </w:tcPr>
          <w:p w14:paraId="7DF4367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Remuneration in 2024 (VND/person/month)</w:t>
            </w:r>
          </w:p>
        </w:tc>
        <w:tc>
          <w:tcPr>
            <w:tcW w:w="3376" w:type="dxa"/>
            <w:shd w:val="clear" w:color="auto" w:fill="auto"/>
            <w:tcMar>
              <w:top w:w="0" w:type="dxa"/>
              <w:bottom w:w="0" w:type="dxa"/>
            </w:tcMar>
            <w:vAlign w:val="center"/>
          </w:tcPr>
          <w:p w14:paraId="1CDA6E91"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Note</w:t>
            </w:r>
          </w:p>
        </w:tc>
      </w:tr>
      <w:tr w:rsidR="0021749F" w:rsidRPr="0021749F" w14:paraId="69F6F6D4" w14:textId="77777777">
        <w:tc>
          <w:tcPr>
            <w:tcW w:w="570" w:type="dxa"/>
            <w:shd w:val="clear" w:color="auto" w:fill="auto"/>
            <w:tcMar>
              <w:top w:w="0" w:type="dxa"/>
              <w:bottom w:w="0" w:type="dxa"/>
            </w:tcMar>
            <w:vAlign w:val="center"/>
          </w:tcPr>
          <w:p w14:paraId="0F87FEE1"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w:t>
            </w:r>
          </w:p>
        </w:tc>
        <w:tc>
          <w:tcPr>
            <w:tcW w:w="2321" w:type="dxa"/>
            <w:shd w:val="clear" w:color="auto" w:fill="auto"/>
            <w:tcMar>
              <w:top w:w="0" w:type="dxa"/>
              <w:bottom w:w="0" w:type="dxa"/>
            </w:tcMar>
            <w:vAlign w:val="center"/>
          </w:tcPr>
          <w:p w14:paraId="6F49AB5F"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The Board of Directors:</w:t>
            </w:r>
          </w:p>
        </w:tc>
        <w:tc>
          <w:tcPr>
            <w:tcW w:w="1004" w:type="dxa"/>
            <w:shd w:val="clear" w:color="auto" w:fill="auto"/>
            <w:tcMar>
              <w:top w:w="0" w:type="dxa"/>
              <w:bottom w:w="0" w:type="dxa"/>
            </w:tcMar>
            <w:vAlign w:val="center"/>
          </w:tcPr>
          <w:p w14:paraId="78403DBD"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06</w:t>
            </w:r>
          </w:p>
        </w:tc>
        <w:tc>
          <w:tcPr>
            <w:tcW w:w="1746" w:type="dxa"/>
            <w:shd w:val="clear" w:color="auto" w:fill="auto"/>
            <w:tcMar>
              <w:top w:w="0" w:type="dxa"/>
              <w:bottom w:w="0" w:type="dxa"/>
            </w:tcMar>
            <w:vAlign w:val="center"/>
          </w:tcPr>
          <w:p w14:paraId="538D80F5" w14:textId="77777777" w:rsidR="009353D9" w:rsidRPr="0021749F" w:rsidRDefault="009353D9" w:rsidP="001133B7">
            <w:pPr>
              <w:tabs>
                <w:tab w:val="left" w:pos="432"/>
              </w:tabs>
              <w:spacing w:after="120" w:line="360" w:lineRule="auto"/>
              <w:jc w:val="center"/>
              <w:rPr>
                <w:rFonts w:ascii="Arial" w:eastAsia="Arial" w:hAnsi="Arial" w:cs="Arial"/>
                <w:color w:val="auto"/>
                <w:sz w:val="20"/>
                <w:szCs w:val="20"/>
              </w:rPr>
            </w:pPr>
          </w:p>
        </w:tc>
        <w:tc>
          <w:tcPr>
            <w:tcW w:w="3376" w:type="dxa"/>
            <w:shd w:val="clear" w:color="auto" w:fill="auto"/>
            <w:tcMar>
              <w:top w:w="0" w:type="dxa"/>
              <w:bottom w:w="0" w:type="dxa"/>
            </w:tcMar>
            <w:vAlign w:val="center"/>
          </w:tcPr>
          <w:p w14:paraId="7699163C"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01E65F68" w14:textId="77777777">
        <w:tc>
          <w:tcPr>
            <w:tcW w:w="570" w:type="dxa"/>
            <w:shd w:val="clear" w:color="auto" w:fill="auto"/>
            <w:tcMar>
              <w:top w:w="0" w:type="dxa"/>
              <w:bottom w:w="0" w:type="dxa"/>
            </w:tcMar>
            <w:vAlign w:val="center"/>
          </w:tcPr>
          <w:p w14:paraId="426806BF"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2321" w:type="dxa"/>
            <w:shd w:val="clear" w:color="auto" w:fill="auto"/>
            <w:tcMar>
              <w:top w:w="0" w:type="dxa"/>
              <w:bottom w:w="0" w:type="dxa"/>
            </w:tcMar>
            <w:vAlign w:val="center"/>
          </w:tcPr>
          <w:p w14:paraId="2BD79E29"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Chair of the Board of Directors</w:t>
            </w:r>
          </w:p>
        </w:tc>
        <w:tc>
          <w:tcPr>
            <w:tcW w:w="1004" w:type="dxa"/>
            <w:shd w:val="clear" w:color="auto" w:fill="auto"/>
            <w:tcMar>
              <w:top w:w="0" w:type="dxa"/>
              <w:bottom w:w="0" w:type="dxa"/>
            </w:tcMar>
            <w:vAlign w:val="center"/>
          </w:tcPr>
          <w:p w14:paraId="09DB5D65"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01</w:t>
            </w:r>
          </w:p>
        </w:tc>
        <w:tc>
          <w:tcPr>
            <w:tcW w:w="1746" w:type="dxa"/>
            <w:shd w:val="clear" w:color="auto" w:fill="auto"/>
            <w:tcMar>
              <w:top w:w="0" w:type="dxa"/>
              <w:bottom w:w="0" w:type="dxa"/>
            </w:tcMar>
            <w:vAlign w:val="center"/>
          </w:tcPr>
          <w:p w14:paraId="3F9A9EA5"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w:t>
            </w:r>
          </w:p>
        </w:tc>
        <w:tc>
          <w:tcPr>
            <w:tcW w:w="3376" w:type="dxa"/>
            <w:shd w:val="clear" w:color="auto" w:fill="auto"/>
            <w:tcMar>
              <w:top w:w="0" w:type="dxa"/>
              <w:bottom w:w="0" w:type="dxa"/>
            </w:tcMar>
            <w:vAlign w:val="center"/>
          </w:tcPr>
          <w:p w14:paraId="29C4E733" w14:textId="1B99DD0F"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The Chair of the Board of Directors receives a</w:t>
            </w:r>
            <w:r w:rsidR="001133B7">
              <w:rPr>
                <w:rFonts w:ascii="Arial" w:hAnsi="Arial"/>
                <w:color w:val="auto"/>
                <w:sz w:val="20"/>
              </w:rPr>
              <w:t>n</w:t>
            </w:r>
            <w:r w:rsidRPr="0021749F">
              <w:rPr>
                <w:rFonts w:ascii="Arial" w:hAnsi="Arial"/>
                <w:color w:val="auto"/>
                <w:sz w:val="20"/>
              </w:rPr>
              <w:t xml:space="preserve"> executive salary </w:t>
            </w:r>
            <w:r w:rsidRPr="0021749F">
              <w:rPr>
                <w:rFonts w:ascii="Arial" w:hAnsi="Arial"/>
                <w:color w:val="auto"/>
                <w:sz w:val="20"/>
              </w:rPr>
              <w:lastRenderedPageBreak/>
              <w:t>according to the Salary Regulations for company managers; not receiving remuneration.</w:t>
            </w:r>
          </w:p>
        </w:tc>
      </w:tr>
      <w:tr w:rsidR="0021749F" w:rsidRPr="0021749F" w14:paraId="3CD41C14" w14:textId="77777777">
        <w:tc>
          <w:tcPr>
            <w:tcW w:w="570" w:type="dxa"/>
            <w:shd w:val="clear" w:color="auto" w:fill="auto"/>
            <w:tcMar>
              <w:top w:w="0" w:type="dxa"/>
              <w:bottom w:w="0" w:type="dxa"/>
            </w:tcMar>
            <w:vAlign w:val="center"/>
          </w:tcPr>
          <w:p w14:paraId="7DE6BE04"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lastRenderedPageBreak/>
              <w:t>2</w:t>
            </w:r>
          </w:p>
        </w:tc>
        <w:tc>
          <w:tcPr>
            <w:tcW w:w="2321" w:type="dxa"/>
            <w:shd w:val="clear" w:color="auto" w:fill="auto"/>
            <w:tcMar>
              <w:top w:w="0" w:type="dxa"/>
              <w:bottom w:w="0" w:type="dxa"/>
            </w:tcMar>
            <w:vAlign w:val="center"/>
          </w:tcPr>
          <w:p w14:paraId="1814AA3A"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Member of the Board of Directors</w:t>
            </w:r>
          </w:p>
        </w:tc>
        <w:tc>
          <w:tcPr>
            <w:tcW w:w="1004" w:type="dxa"/>
            <w:shd w:val="clear" w:color="auto" w:fill="auto"/>
            <w:tcMar>
              <w:top w:w="0" w:type="dxa"/>
              <w:bottom w:w="0" w:type="dxa"/>
            </w:tcMar>
            <w:vAlign w:val="center"/>
          </w:tcPr>
          <w:p w14:paraId="6BD3268B"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05</w:t>
            </w:r>
          </w:p>
        </w:tc>
        <w:tc>
          <w:tcPr>
            <w:tcW w:w="1746" w:type="dxa"/>
            <w:shd w:val="clear" w:color="auto" w:fill="auto"/>
            <w:tcMar>
              <w:top w:w="0" w:type="dxa"/>
              <w:bottom w:w="0" w:type="dxa"/>
            </w:tcMar>
            <w:vAlign w:val="center"/>
          </w:tcPr>
          <w:p w14:paraId="1E7A9A89"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2,500,000</w:t>
            </w:r>
          </w:p>
        </w:tc>
        <w:tc>
          <w:tcPr>
            <w:tcW w:w="3376" w:type="dxa"/>
            <w:shd w:val="clear" w:color="auto" w:fill="auto"/>
            <w:tcMar>
              <w:top w:w="0" w:type="dxa"/>
              <w:bottom w:w="0" w:type="dxa"/>
            </w:tcMar>
            <w:vAlign w:val="center"/>
          </w:tcPr>
          <w:p w14:paraId="60872CF2"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063EA0E3" w14:textId="77777777">
        <w:tc>
          <w:tcPr>
            <w:tcW w:w="570" w:type="dxa"/>
            <w:shd w:val="clear" w:color="auto" w:fill="auto"/>
            <w:tcMar>
              <w:top w:w="0" w:type="dxa"/>
              <w:bottom w:w="0" w:type="dxa"/>
            </w:tcMar>
            <w:vAlign w:val="center"/>
          </w:tcPr>
          <w:p w14:paraId="3045EEC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II</w:t>
            </w:r>
          </w:p>
        </w:tc>
        <w:tc>
          <w:tcPr>
            <w:tcW w:w="2321" w:type="dxa"/>
            <w:shd w:val="clear" w:color="auto" w:fill="auto"/>
            <w:tcMar>
              <w:top w:w="0" w:type="dxa"/>
              <w:bottom w:w="0" w:type="dxa"/>
            </w:tcMar>
            <w:vAlign w:val="center"/>
          </w:tcPr>
          <w:p w14:paraId="05E61506"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The Supervisory Board</w:t>
            </w:r>
          </w:p>
        </w:tc>
        <w:tc>
          <w:tcPr>
            <w:tcW w:w="1004" w:type="dxa"/>
            <w:shd w:val="clear" w:color="auto" w:fill="auto"/>
            <w:tcMar>
              <w:top w:w="0" w:type="dxa"/>
              <w:bottom w:w="0" w:type="dxa"/>
            </w:tcMar>
            <w:vAlign w:val="center"/>
          </w:tcPr>
          <w:p w14:paraId="66C13AA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03</w:t>
            </w:r>
          </w:p>
        </w:tc>
        <w:tc>
          <w:tcPr>
            <w:tcW w:w="1746" w:type="dxa"/>
            <w:shd w:val="clear" w:color="auto" w:fill="auto"/>
            <w:tcMar>
              <w:top w:w="0" w:type="dxa"/>
              <w:bottom w:w="0" w:type="dxa"/>
            </w:tcMar>
            <w:vAlign w:val="center"/>
          </w:tcPr>
          <w:p w14:paraId="1DF410B5" w14:textId="77777777" w:rsidR="009353D9" w:rsidRPr="0021749F" w:rsidRDefault="009353D9" w:rsidP="001133B7">
            <w:pPr>
              <w:tabs>
                <w:tab w:val="left" w:pos="432"/>
              </w:tabs>
              <w:spacing w:after="120" w:line="360" w:lineRule="auto"/>
              <w:jc w:val="center"/>
              <w:rPr>
                <w:rFonts w:ascii="Arial" w:eastAsia="Arial" w:hAnsi="Arial" w:cs="Arial"/>
                <w:color w:val="auto"/>
                <w:sz w:val="20"/>
                <w:szCs w:val="20"/>
              </w:rPr>
            </w:pPr>
          </w:p>
        </w:tc>
        <w:tc>
          <w:tcPr>
            <w:tcW w:w="3376" w:type="dxa"/>
            <w:shd w:val="clear" w:color="auto" w:fill="auto"/>
            <w:tcMar>
              <w:top w:w="0" w:type="dxa"/>
              <w:bottom w:w="0" w:type="dxa"/>
            </w:tcMar>
            <w:vAlign w:val="center"/>
          </w:tcPr>
          <w:p w14:paraId="3731A2C8"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6ECA2298" w14:textId="77777777">
        <w:tc>
          <w:tcPr>
            <w:tcW w:w="570" w:type="dxa"/>
            <w:shd w:val="clear" w:color="auto" w:fill="auto"/>
            <w:tcMar>
              <w:top w:w="0" w:type="dxa"/>
              <w:bottom w:w="0" w:type="dxa"/>
            </w:tcMar>
            <w:vAlign w:val="center"/>
          </w:tcPr>
          <w:p w14:paraId="2BAEC9DB"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w:t>
            </w:r>
          </w:p>
        </w:tc>
        <w:tc>
          <w:tcPr>
            <w:tcW w:w="2321" w:type="dxa"/>
            <w:shd w:val="clear" w:color="auto" w:fill="auto"/>
            <w:tcMar>
              <w:top w:w="0" w:type="dxa"/>
              <w:bottom w:w="0" w:type="dxa"/>
            </w:tcMar>
            <w:vAlign w:val="center"/>
          </w:tcPr>
          <w:p w14:paraId="6B82A289"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Chief of the Supervisory Board</w:t>
            </w:r>
          </w:p>
        </w:tc>
        <w:tc>
          <w:tcPr>
            <w:tcW w:w="1004" w:type="dxa"/>
            <w:shd w:val="clear" w:color="auto" w:fill="auto"/>
            <w:tcMar>
              <w:top w:w="0" w:type="dxa"/>
              <w:bottom w:w="0" w:type="dxa"/>
            </w:tcMar>
            <w:vAlign w:val="center"/>
          </w:tcPr>
          <w:p w14:paraId="0DA242A8"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01</w:t>
            </w:r>
          </w:p>
        </w:tc>
        <w:tc>
          <w:tcPr>
            <w:tcW w:w="1746" w:type="dxa"/>
            <w:shd w:val="clear" w:color="auto" w:fill="auto"/>
            <w:tcMar>
              <w:top w:w="0" w:type="dxa"/>
              <w:bottom w:w="0" w:type="dxa"/>
            </w:tcMar>
            <w:vAlign w:val="center"/>
          </w:tcPr>
          <w:p w14:paraId="24E3D544"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2,500,000</w:t>
            </w:r>
          </w:p>
        </w:tc>
        <w:tc>
          <w:tcPr>
            <w:tcW w:w="3376" w:type="dxa"/>
            <w:shd w:val="clear" w:color="auto" w:fill="auto"/>
            <w:tcMar>
              <w:top w:w="0" w:type="dxa"/>
              <w:bottom w:w="0" w:type="dxa"/>
            </w:tcMar>
            <w:vAlign w:val="center"/>
          </w:tcPr>
          <w:p w14:paraId="537947F3"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7AC1B912" w14:textId="77777777">
        <w:tc>
          <w:tcPr>
            <w:tcW w:w="570" w:type="dxa"/>
            <w:shd w:val="clear" w:color="auto" w:fill="auto"/>
            <w:tcMar>
              <w:top w:w="0" w:type="dxa"/>
              <w:bottom w:w="0" w:type="dxa"/>
            </w:tcMar>
            <w:vAlign w:val="center"/>
          </w:tcPr>
          <w:p w14:paraId="5B9E21F2"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2</w:t>
            </w:r>
          </w:p>
        </w:tc>
        <w:tc>
          <w:tcPr>
            <w:tcW w:w="2321" w:type="dxa"/>
            <w:shd w:val="clear" w:color="auto" w:fill="auto"/>
            <w:tcMar>
              <w:top w:w="0" w:type="dxa"/>
              <w:bottom w:w="0" w:type="dxa"/>
            </w:tcMar>
            <w:vAlign w:val="center"/>
          </w:tcPr>
          <w:p w14:paraId="5C891D26"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Members of the Supervisory Board:</w:t>
            </w:r>
          </w:p>
        </w:tc>
        <w:tc>
          <w:tcPr>
            <w:tcW w:w="1004" w:type="dxa"/>
            <w:shd w:val="clear" w:color="auto" w:fill="auto"/>
            <w:tcMar>
              <w:top w:w="0" w:type="dxa"/>
              <w:bottom w:w="0" w:type="dxa"/>
            </w:tcMar>
            <w:vAlign w:val="center"/>
          </w:tcPr>
          <w:p w14:paraId="13302BA6"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02</w:t>
            </w:r>
          </w:p>
        </w:tc>
        <w:tc>
          <w:tcPr>
            <w:tcW w:w="1746" w:type="dxa"/>
            <w:shd w:val="clear" w:color="auto" w:fill="auto"/>
            <w:tcMar>
              <w:top w:w="0" w:type="dxa"/>
              <w:bottom w:w="0" w:type="dxa"/>
            </w:tcMar>
            <w:vAlign w:val="center"/>
          </w:tcPr>
          <w:p w14:paraId="3A0747E9"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1,800,000</w:t>
            </w:r>
          </w:p>
        </w:tc>
        <w:tc>
          <w:tcPr>
            <w:tcW w:w="3376" w:type="dxa"/>
            <w:shd w:val="clear" w:color="auto" w:fill="auto"/>
            <w:tcMar>
              <w:top w:w="0" w:type="dxa"/>
              <w:bottom w:w="0" w:type="dxa"/>
            </w:tcMar>
            <w:vAlign w:val="center"/>
          </w:tcPr>
          <w:p w14:paraId="445E8FDC" w14:textId="77777777" w:rsidR="009353D9" w:rsidRPr="0021749F" w:rsidRDefault="009353D9">
            <w:pPr>
              <w:tabs>
                <w:tab w:val="left" w:pos="432"/>
              </w:tabs>
              <w:spacing w:after="120" w:line="360" w:lineRule="auto"/>
              <w:rPr>
                <w:rFonts w:ascii="Arial" w:eastAsia="Arial" w:hAnsi="Arial" w:cs="Arial"/>
                <w:color w:val="auto"/>
                <w:sz w:val="20"/>
                <w:szCs w:val="20"/>
              </w:rPr>
            </w:pPr>
          </w:p>
        </w:tc>
      </w:tr>
      <w:tr w:rsidR="0021749F" w:rsidRPr="0021749F" w14:paraId="45DB55E0" w14:textId="77777777">
        <w:tc>
          <w:tcPr>
            <w:tcW w:w="570" w:type="dxa"/>
            <w:shd w:val="clear" w:color="auto" w:fill="auto"/>
            <w:tcMar>
              <w:top w:w="0" w:type="dxa"/>
              <w:bottom w:w="0" w:type="dxa"/>
            </w:tcMar>
            <w:vAlign w:val="center"/>
          </w:tcPr>
          <w:p w14:paraId="74E5D2AF"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III</w:t>
            </w:r>
          </w:p>
        </w:tc>
        <w:tc>
          <w:tcPr>
            <w:tcW w:w="2321" w:type="dxa"/>
            <w:shd w:val="clear" w:color="auto" w:fill="auto"/>
            <w:tcMar>
              <w:top w:w="0" w:type="dxa"/>
              <w:bottom w:w="0" w:type="dxa"/>
            </w:tcMar>
            <w:vAlign w:val="center"/>
          </w:tcPr>
          <w:p w14:paraId="2FD07A30" w14:textId="77777777" w:rsidR="009353D9" w:rsidRPr="0021749F" w:rsidRDefault="0021749F">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21749F">
              <w:rPr>
                <w:rFonts w:ascii="Arial" w:hAnsi="Arial"/>
                <w:color w:val="auto"/>
                <w:sz w:val="20"/>
              </w:rPr>
              <w:t>Company Secretariat:</w:t>
            </w:r>
          </w:p>
        </w:tc>
        <w:tc>
          <w:tcPr>
            <w:tcW w:w="1004" w:type="dxa"/>
            <w:shd w:val="clear" w:color="auto" w:fill="auto"/>
            <w:tcMar>
              <w:top w:w="0" w:type="dxa"/>
              <w:bottom w:w="0" w:type="dxa"/>
            </w:tcMar>
            <w:vAlign w:val="center"/>
          </w:tcPr>
          <w:p w14:paraId="6BEC4B97"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01</w:t>
            </w:r>
          </w:p>
        </w:tc>
        <w:tc>
          <w:tcPr>
            <w:tcW w:w="1746" w:type="dxa"/>
            <w:shd w:val="clear" w:color="auto" w:fill="auto"/>
            <w:tcMar>
              <w:top w:w="0" w:type="dxa"/>
              <w:bottom w:w="0" w:type="dxa"/>
            </w:tcMar>
            <w:vAlign w:val="center"/>
          </w:tcPr>
          <w:p w14:paraId="631CDCFC" w14:textId="77777777" w:rsidR="009353D9" w:rsidRPr="0021749F" w:rsidRDefault="0021749F" w:rsidP="001133B7">
            <w:pPr>
              <w:pBdr>
                <w:top w:val="nil"/>
                <w:left w:val="nil"/>
                <w:bottom w:val="nil"/>
                <w:right w:val="nil"/>
                <w:between w:val="nil"/>
              </w:pBdr>
              <w:tabs>
                <w:tab w:val="left" w:pos="432"/>
              </w:tabs>
              <w:spacing w:after="120" w:line="360" w:lineRule="auto"/>
              <w:jc w:val="center"/>
              <w:rPr>
                <w:rFonts w:ascii="Arial" w:eastAsia="Arial" w:hAnsi="Arial" w:cs="Arial"/>
                <w:color w:val="auto"/>
                <w:sz w:val="20"/>
                <w:szCs w:val="20"/>
              </w:rPr>
            </w:pPr>
            <w:r w:rsidRPr="0021749F">
              <w:rPr>
                <w:rFonts w:ascii="Arial" w:hAnsi="Arial"/>
                <w:color w:val="auto"/>
                <w:sz w:val="20"/>
              </w:rPr>
              <w:t>1,800,000</w:t>
            </w:r>
          </w:p>
        </w:tc>
        <w:tc>
          <w:tcPr>
            <w:tcW w:w="3376" w:type="dxa"/>
            <w:shd w:val="clear" w:color="auto" w:fill="auto"/>
            <w:tcMar>
              <w:top w:w="0" w:type="dxa"/>
              <w:bottom w:w="0" w:type="dxa"/>
            </w:tcMar>
            <w:vAlign w:val="center"/>
          </w:tcPr>
          <w:p w14:paraId="65569692" w14:textId="77777777" w:rsidR="009353D9" w:rsidRPr="0021749F" w:rsidRDefault="009353D9">
            <w:pPr>
              <w:tabs>
                <w:tab w:val="left" w:pos="432"/>
              </w:tabs>
              <w:spacing w:after="120" w:line="360" w:lineRule="auto"/>
              <w:rPr>
                <w:rFonts w:ascii="Arial" w:eastAsia="Arial" w:hAnsi="Arial" w:cs="Arial"/>
                <w:color w:val="auto"/>
                <w:sz w:val="20"/>
                <w:szCs w:val="20"/>
              </w:rPr>
            </w:pPr>
          </w:p>
        </w:tc>
      </w:tr>
    </w:tbl>
    <w:p w14:paraId="0A7A4F5D" w14:textId="77777777" w:rsidR="009353D9" w:rsidRPr="0021749F" w:rsidRDefault="0021749F" w:rsidP="001133B7">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‎‎Article 7. Approve the selection of the audit company for the Financial Statements in 2024 of Tuyen Quang Water Supply and Sewerage Joint Stock Company.</w:t>
      </w:r>
    </w:p>
    <w:p w14:paraId="11436639" w14:textId="77777777" w:rsidR="009353D9" w:rsidRPr="0021749F" w:rsidRDefault="0021749F" w:rsidP="001133B7">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The General Meeting of Shareholders approves the authorization for the Board of Directors to select 1 out of 4 independent audit companies according to the Proposal of the Board of Directors to perform the audit of the company's Financial Statements for</w:t>
      </w:r>
      <w:bookmarkStart w:id="0" w:name="_GoBack"/>
      <w:bookmarkEnd w:id="0"/>
      <w:r w:rsidRPr="0021749F">
        <w:rPr>
          <w:rFonts w:ascii="Arial" w:hAnsi="Arial"/>
          <w:color w:val="auto"/>
          <w:sz w:val="20"/>
        </w:rPr>
        <w:t xml:space="preserve"> 2024.</w:t>
      </w:r>
    </w:p>
    <w:p w14:paraId="61B55E77" w14:textId="77777777" w:rsidR="009353D9" w:rsidRPr="0021749F" w:rsidRDefault="0021749F" w:rsidP="001133B7">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‎‎Article 8. Terms of enforcement</w:t>
      </w:r>
    </w:p>
    <w:p w14:paraId="05F5D932" w14:textId="77777777" w:rsidR="009353D9" w:rsidRPr="0021749F" w:rsidRDefault="0021749F" w:rsidP="001133B7">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This General Manager was approved by the Annual General Meeting of Shareholders of Tuyen Quang Water Supply and Sewerage Joint Stock Company in 2024 and takes effect from the date of signing.</w:t>
      </w:r>
    </w:p>
    <w:p w14:paraId="4399FE19" w14:textId="77777777" w:rsidR="009353D9" w:rsidRPr="0021749F" w:rsidRDefault="0021749F" w:rsidP="001133B7">
      <w:pPr>
        <w:pBdr>
          <w:top w:val="nil"/>
          <w:left w:val="nil"/>
          <w:bottom w:val="nil"/>
          <w:right w:val="nil"/>
          <w:between w:val="nil"/>
        </w:pBdr>
        <w:tabs>
          <w:tab w:val="left" w:pos="432"/>
        </w:tabs>
        <w:spacing w:after="120" w:line="360" w:lineRule="auto"/>
        <w:jc w:val="both"/>
        <w:rPr>
          <w:rFonts w:ascii="Arial" w:eastAsia="Arial" w:hAnsi="Arial" w:cs="Arial"/>
          <w:color w:val="auto"/>
          <w:sz w:val="20"/>
          <w:szCs w:val="20"/>
        </w:rPr>
      </w:pPr>
      <w:r w:rsidRPr="0021749F">
        <w:rPr>
          <w:rFonts w:ascii="Arial" w:hAnsi="Arial"/>
          <w:color w:val="auto"/>
          <w:sz w:val="20"/>
        </w:rPr>
        <w:t>The Board of Directors of Tuyen Quang Water Supply and Sewerage Joint Stock Company, the Board of Managers, the Supervisory Board, and related individuals are responsible for organizing the implementation of the General Mandate, ensuring the interests of shareholders, the Company, and complying with current legal regulations.</w:t>
      </w:r>
    </w:p>
    <w:sectPr w:rsidR="009353D9" w:rsidRPr="0021749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A1C"/>
    <w:multiLevelType w:val="multilevel"/>
    <w:tmpl w:val="D4FC4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187675"/>
    <w:multiLevelType w:val="multilevel"/>
    <w:tmpl w:val="74045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9B2BC3"/>
    <w:multiLevelType w:val="multilevel"/>
    <w:tmpl w:val="2A10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D9"/>
    <w:rsid w:val="001133B7"/>
    <w:rsid w:val="0021749F"/>
    <w:rsid w:val="0093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color w:val="995B6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995B6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995B60"/>
      <w:sz w:val="12"/>
      <w:szCs w:val="12"/>
      <w:u w:val="none"/>
      <w:shd w:val="clear" w:color="auto" w:fill="auto"/>
    </w:rPr>
  </w:style>
  <w:style w:type="paragraph" w:customStyle="1" w:styleId="Tablecaption0">
    <w:name w:val="Table caption"/>
    <w:basedOn w:val="Normal"/>
    <w:link w:val="Tablecaption"/>
    <w:pPr>
      <w:spacing w:line="226"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sz w:val="18"/>
      <w:szCs w:val="18"/>
    </w:rPr>
  </w:style>
  <w:style w:type="paragraph" w:customStyle="1" w:styleId="Bodytext30">
    <w:name w:val="Body text (3)"/>
    <w:basedOn w:val="Normal"/>
    <w:link w:val="Bodytext3"/>
    <w:pPr>
      <w:ind w:left="1320"/>
    </w:pPr>
    <w:rPr>
      <w:rFonts w:ascii="Arial" w:eastAsia="Arial" w:hAnsi="Arial" w:cs="Arial"/>
      <w:i/>
      <w:iCs/>
      <w:color w:val="995B60"/>
      <w:sz w:val="16"/>
      <w:szCs w:val="16"/>
    </w:rPr>
  </w:style>
  <w:style w:type="paragraph" w:customStyle="1" w:styleId="Bodytext40">
    <w:name w:val="Body text (4)"/>
    <w:basedOn w:val="Normal"/>
    <w:link w:val="Bodytext4"/>
    <w:pPr>
      <w:spacing w:line="180" w:lineRule="auto"/>
      <w:ind w:left="1320"/>
    </w:pPr>
    <w:rPr>
      <w:rFonts w:ascii="Arial" w:eastAsia="Arial" w:hAnsi="Arial" w:cs="Arial"/>
      <w:smallCaps/>
      <w:color w:val="995B60"/>
      <w:sz w:val="22"/>
      <w:szCs w:val="22"/>
    </w:rPr>
  </w:style>
  <w:style w:type="paragraph" w:customStyle="1" w:styleId="Bodytext50">
    <w:name w:val="Body text (5)"/>
    <w:basedOn w:val="Normal"/>
    <w:link w:val="Bodytext5"/>
    <w:pPr>
      <w:ind w:left="5060"/>
    </w:pPr>
    <w:rPr>
      <w:rFonts w:ascii="Arial" w:eastAsia="Arial" w:hAnsi="Arial" w:cs="Arial"/>
      <w:b/>
      <w:bCs/>
      <w:color w:val="995B60"/>
      <w:sz w:val="12"/>
      <w:szCs w:val="12"/>
    </w:rPr>
  </w:style>
  <w:style w:type="paragraph" w:styleId="ListParagraph">
    <w:name w:val="List Paragraph"/>
    <w:basedOn w:val="Normal"/>
    <w:uiPriority w:val="34"/>
    <w:qFormat/>
    <w:rsid w:val="000A1E3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color w:val="995B6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995B6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995B60"/>
      <w:sz w:val="12"/>
      <w:szCs w:val="12"/>
      <w:u w:val="none"/>
      <w:shd w:val="clear" w:color="auto" w:fill="auto"/>
    </w:rPr>
  </w:style>
  <w:style w:type="paragraph" w:customStyle="1" w:styleId="Tablecaption0">
    <w:name w:val="Table caption"/>
    <w:basedOn w:val="Normal"/>
    <w:link w:val="Tablecaption"/>
    <w:pPr>
      <w:spacing w:line="226"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sz w:val="18"/>
      <w:szCs w:val="18"/>
    </w:rPr>
  </w:style>
  <w:style w:type="paragraph" w:customStyle="1" w:styleId="Bodytext30">
    <w:name w:val="Body text (3)"/>
    <w:basedOn w:val="Normal"/>
    <w:link w:val="Bodytext3"/>
    <w:pPr>
      <w:ind w:left="1320"/>
    </w:pPr>
    <w:rPr>
      <w:rFonts w:ascii="Arial" w:eastAsia="Arial" w:hAnsi="Arial" w:cs="Arial"/>
      <w:i/>
      <w:iCs/>
      <w:color w:val="995B60"/>
      <w:sz w:val="16"/>
      <w:szCs w:val="16"/>
    </w:rPr>
  </w:style>
  <w:style w:type="paragraph" w:customStyle="1" w:styleId="Bodytext40">
    <w:name w:val="Body text (4)"/>
    <w:basedOn w:val="Normal"/>
    <w:link w:val="Bodytext4"/>
    <w:pPr>
      <w:spacing w:line="180" w:lineRule="auto"/>
      <w:ind w:left="1320"/>
    </w:pPr>
    <w:rPr>
      <w:rFonts w:ascii="Arial" w:eastAsia="Arial" w:hAnsi="Arial" w:cs="Arial"/>
      <w:smallCaps/>
      <w:color w:val="995B60"/>
      <w:sz w:val="22"/>
      <w:szCs w:val="22"/>
    </w:rPr>
  </w:style>
  <w:style w:type="paragraph" w:customStyle="1" w:styleId="Bodytext50">
    <w:name w:val="Body text (5)"/>
    <w:basedOn w:val="Normal"/>
    <w:link w:val="Bodytext5"/>
    <w:pPr>
      <w:ind w:left="5060"/>
    </w:pPr>
    <w:rPr>
      <w:rFonts w:ascii="Arial" w:eastAsia="Arial" w:hAnsi="Arial" w:cs="Arial"/>
      <w:b/>
      <w:bCs/>
      <w:color w:val="995B60"/>
      <w:sz w:val="12"/>
      <w:szCs w:val="12"/>
    </w:rPr>
  </w:style>
  <w:style w:type="paragraph" w:styleId="ListParagraph">
    <w:name w:val="List Paragraph"/>
    <w:basedOn w:val="Normal"/>
    <w:uiPriority w:val="34"/>
    <w:qFormat/>
    <w:rsid w:val="000A1E3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TdoEvcI8LDz8uZWeWdASzMLCA==">CgMxLjA4AHIhMTI0M2VveWtiVFh4dFhvSk1aTnBrUi1qYThiZC1zS0N4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2024-04-24T01:26:00Z</dcterms:created>
  <dcterms:modified xsi:type="dcterms:W3CDTF">2024-04-25T09:17:00Z</dcterms:modified>
</cp:coreProperties>
</file>