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59169E" w:rsidRDefault="00232E94" w:rsidP="00EF3144">
      <w:pPr>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b/>
          <w:color w:val="010000"/>
          <w:sz w:val="20"/>
        </w:rPr>
        <w:t>TVH: Annual General Mandate 2024</w:t>
      </w:r>
    </w:p>
    <w:p w14:paraId="00000002" w14:textId="015EF861" w:rsidR="0059169E" w:rsidRDefault="00232E94" w:rsidP="00EF314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On April 19, 2024, Construction Consultation Joint Stock Company for Maritime Building announced General Mandate No. 54/NQ-</w:t>
      </w:r>
      <w:r w:rsidR="00EF3144">
        <w:rPr>
          <w:rFonts w:ascii="Arial" w:hAnsi="Arial"/>
          <w:color w:val="010000"/>
          <w:sz w:val="20"/>
        </w:rPr>
        <w:t>D</w:t>
      </w:r>
      <w:r>
        <w:rPr>
          <w:rFonts w:ascii="Arial" w:hAnsi="Arial"/>
          <w:color w:val="010000"/>
          <w:sz w:val="20"/>
        </w:rPr>
        <w:t>H</w:t>
      </w:r>
      <w:r w:rsidR="00EF3144">
        <w:rPr>
          <w:rFonts w:ascii="Arial" w:hAnsi="Arial"/>
          <w:color w:val="010000"/>
          <w:sz w:val="20"/>
        </w:rPr>
        <w:t>D</w:t>
      </w:r>
      <w:r>
        <w:rPr>
          <w:rFonts w:ascii="Arial" w:hAnsi="Arial"/>
          <w:color w:val="010000"/>
          <w:sz w:val="20"/>
        </w:rPr>
        <w:t>C</w:t>
      </w:r>
      <w:r w:rsidR="00EF3144">
        <w:rPr>
          <w:rFonts w:ascii="Arial" w:hAnsi="Arial"/>
          <w:color w:val="010000"/>
          <w:sz w:val="20"/>
        </w:rPr>
        <w:t>D</w:t>
      </w:r>
      <w:r>
        <w:rPr>
          <w:rFonts w:ascii="Arial" w:hAnsi="Arial"/>
          <w:color w:val="010000"/>
          <w:sz w:val="20"/>
        </w:rPr>
        <w:t xml:space="preserve"> as follows:</w:t>
      </w:r>
    </w:p>
    <w:p w14:paraId="00000003" w14:textId="77777777" w:rsidR="0059169E" w:rsidRDefault="00232E94" w:rsidP="00EF314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1. The Annual General Meeting of Shareholders in 2024 of Construction Consultation Joint Stock Company for Maritime Building approved the following main contents:</w:t>
      </w:r>
    </w:p>
    <w:p w14:paraId="00000004" w14:textId="272CE98C" w:rsidR="0059169E" w:rsidRDefault="00232E94" w:rsidP="00EF3144">
      <w:pPr>
        <w:keepNext/>
        <w:numPr>
          <w:ilvl w:val="0"/>
          <w:numId w:val="4"/>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Pr>
          <w:rFonts w:ascii="Arial" w:hAnsi="Arial"/>
          <w:color w:val="010000"/>
          <w:sz w:val="20"/>
        </w:rPr>
        <w:t>Approve the Audited Financial Statements 2023. Approve the Production, busine</w:t>
      </w:r>
      <w:r w:rsidR="00EF3144">
        <w:rPr>
          <w:rFonts w:ascii="Arial" w:hAnsi="Arial"/>
          <w:color w:val="010000"/>
          <w:sz w:val="20"/>
        </w:rPr>
        <w:t>ss and investment plan for 2023:</w:t>
      </w:r>
    </w:p>
    <w:p w14:paraId="00000005" w14:textId="532A0994" w:rsidR="0059169E" w:rsidRDefault="00232E94" w:rsidP="00232E9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Total revenue: VND 146,171,423,686</w:t>
      </w:r>
      <w:r>
        <w:rPr>
          <w:rFonts w:ascii="Arial" w:hAnsi="Arial"/>
          <w:color w:val="010000"/>
          <w:sz w:val="20"/>
        </w:rPr>
        <w:br/>
        <w:t>Profit before tax: VND 33,400,866,624</w:t>
      </w:r>
      <w:r>
        <w:rPr>
          <w:rFonts w:ascii="Arial" w:hAnsi="Arial"/>
          <w:color w:val="010000"/>
          <w:sz w:val="20"/>
        </w:rPr>
        <w:br/>
        <w:t>Profit after tax:  VND 26,768,795,700</w:t>
      </w:r>
      <w:r>
        <w:rPr>
          <w:rFonts w:ascii="Arial" w:hAnsi="Arial"/>
          <w:color w:val="010000"/>
          <w:sz w:val="20"/>
        </w:rPr>
        <w:br/>
        <w:t>Total investment disbursement in 2023: VND 4.953 billion;</w:t>
      </w:r>
    </w:p>
    <w:p w14:paraId="00000006" w14:textId="03DE39FD" w:rsidR="0059169E" w:rsidRDefault="00232E94" w:rsidP="00232E94">
      <w:pPr>
        <w:keepNext/>
        <w:numPr>
          <w:ilvl w:val="0"/>
          <w:numId w:val="4"/>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Pr>
          <w:rFonts w:ascii="Arial" w:hAnsi="Arial"/>
          <w:color w:val="010000"/>
          <w:sz w:val="20"/>
        </w:rPr>
        <w:t>Approve the distribution of profit after tax in 2023 and dividend payment as follows:</w:t>
      </w:r>
    </w:p>
    <w:p w14:paraId="00000007" w14:textId="77777777" w:rsidR="0059169E" w:rsidRDefault="00232E94" w:rsidP="00232E94">
      <w:pPr>
        <w:numPr>
          <w:ilvl w:val="1"/>
          <w:numId w:val="4"/>
        </w:numPr>
        <w:pBdr>
          <w:top w:val="nil"/>
          <w:left w:val="nil"/>
          <w:bottom w:val="nil"/>
          <w:right w:val="nil"/>
          <w:between w:val="nil"/>
        </w:pBdr>
        <w:tabs>
          <w:tab w:val="left" w:pos="720"/>
          <w:tab w:val="left" w:pos="1625"/>
        </w:tabs>
        <w:spacing w:after="120" w:line="360" w:lineRule="auto"/>
        <w:rPr>
          <w:rFonts w:ascii="Arial" w:eastAsia="Arial" w:hAnsi="Arial" w:cs="Arial"/>
          <w:color w:val="010000"/>
          <w:sz w:val="20"/>
          <w:szCs w:val="20"/>
        </w:rPr>
      </w:pPr>
      <w:r>
        <w:rPr>
          <w:rFonts w:ascii="Arial" w:hAnsi="Arial"/>
          <w:color w:val="010000"/>
          <w:sz w:val="20"/>
        </w:rPr>
        <w:t>Total profit after tax to be distributed: VND 26,859,853,820, including:</w:t>
      </w:r>
    </w:p>
    <w:p w14:paraId="00000008" w14:textId="77777777" w:rsidR="0059169E" w:rsidRDefault="00232E94" w:rsidP="00232E94">
      <w:pPr>
        <w:numPr>
          <w:ilvl w:val="0"/>
          <w:numId w:val="3"/>
        </w:numPr>
        <w:pBdr>
          <w:top w:val="nil"/>
          <w:left w:val="nil"/>
          <w:bottom w:val="nil"/>
          <w:right w:val="nil"/>
          <w:between w:val="nil"/>
        </w:pBdr>
        <w:tabs>
          <w:tab w:val="left" w:pos="720"/>
          <w:tab w:val="left" w:pos="1327"/>
        </w:tabs>
        <w:spacing w:after="120" w:line="360" w:lineRule="auto"/>
        <w:rPr>
          <w:rFonts w:ascii="Arial" w:eastAsia="Arial" w:hAnsi="Arial" w:cs="Arial"/>
          <w:color w:val="010000"/>
          <w:sz w:val="20"/>
          <w:szCs w:val="20"/>
        </w:rPr>
      </w:pPr>
      <w:r>
        <w:rPr>
          <w:rFonts w:ascii="Arial" w:hAnsi="Arial"/>
          <w:color w:val="010000"/>
          <w:sz w:val="20"/>
        </w:rPr>
        <w:t>Profit after tax in 2023: VND 26,768,795,700</w:t>
      </w:r>
    </w:p>
    <w:p w14:paraId="00000009" w14:textId="77777777" w:rsidR="0059169E" w:rsidRDefault="00232E94" w:rsidP="00232E94">
      <w:pPr>
        <w:numPr>
          <w:ilvl w:val="0"/>
          <w:numId w:val="3"/>
        </w:numPr>
        <w:pBdr>
          <w:top w:val="nil"/>
          <w:left w:val="nil"/>
          <w:bottom w:val="nil"/>
          <w:right w:val="nil"/>
          <w:between w:val="nil"/>
        </w:pBdr>
        <w:tabs>
          <w:tab w:val="left" w:pos="720"/>
          <w:tab w:val="left" w:pos="1327"/>
        </w:tabs>
        <w:spacing w:after="120" w:line="360" w:lineRule="auto"/>
        <w:rPr>
          <w:rFonts w:ascii="Arial" w:eastAsia="Arial" w:hAnsi="Arial" w:cs="Arial"/>
          <w:color w:val="010000"/>
          <w:sz w:val="20"/>
          <w:szCs w:val="20"/>
        </w:rPr>
      </w:pPr>
      <w:r>
        <w:rPr>
          <w:rFonts w:ascii="Arial" w:hAnsi="Arial"/>
          <w:color w:val="010000"/>
          <w:sz w:val="20"/>
        </w:rPr>
        <w:t>Undistributed profit after tax from 2022: VND 91,058,120.</w:t>
      </w:r>
    </w:p>
    <w:p w14:paraId="0000000A" w14:textId="77777777" w:rsidR="0059169E" w:rsidRDefault="00232E94" w:rsidP="00232E94">
      <w:pPr>
        <w:numPr>
          <w:ilvl w:val="1"/>
          <w:numId w:val="4"/>
        </w:numPr>
        <w:pBdr>
          <w:top w:val="nil"/>
          <w:left w:val="nil"/>
          <w:bottom w:val="nil"/>
          <w:right w:val="nil"/>
          <w:between w:val="nil"/>
        </w:pBdr>
        <w:tabs>
          <w:tab w:val="left" w:pos="720"/>
          <w:tab w:val="left" w:pos="1625"/>
        </w:tabs>
        <w:spacing w:after="120" w:line="360" w:lineRule="auto"/>
        <w:rPr>
          <w:rFonts w:ascii="Arial" w:eastAsia="Arial" w:hAnsi="Arial" w:cs="Arial"/>
          <w:color w:val="010000"/>
          <w:sz w:val="20"/>
          <w:szCs w:val="20"/>
        </w:rPr>
      </w:pPr>
      <w:r>
        <w:rPr>
          <w:rFonts w:ascii="Arial" w:hAnsi="Arial"/>
          <w:color w:val="010000"/>
          <w:sz w:val="20"/>
        </w:rPr>
        <w:t>Distribution of profit after tax:</w:t>
      </w:r>
    </w:p>
    <w:p w14:paraId="0000000B" w14:textId="77777777" w:rsidR="0059169E" w:rsidRDefault="00232E94" w:rsidP="00232E94">
      <w:pPr>
        <w:numPr>
          <w:ilvl w:val="0"/>
          <w:numId w:val="3"/>
        </w:numPr>
        <w:pBdr>
          <w:top w:val="nil"/>
          <w:left w:val="nil"/>
          <w:bottom w:val="nil"/>
          <w:right w:val="nil"/>
          <w:between w:val="nil"/>
        </w:pBdr>
        <w:tabs>
          <w:tab w:val="left" w:pos="720"/>
          <w:tab w:val="left" w:pos="1278"/>
        </w:tabs>
        <w:spacing w:after="120" w:line="360" w:lineRule="auto"/>
        <w:rPr>
          <w:rFonts w:ascii="Arial" w:eastAsia="Arial" w:hAnsi="Arial" w:cs="Arial"/>
          <w:color w:val="010000"/>
          <w:sz w:val="20"/>
          <w:szCs w:val="20"/>
        </w:rPr>
      </w:pPr>
      <w:r>
        <w:rPr>
          <w:rFonts w:ascii="Arial" w:hAnsi="Arial"/>
          <w:color w:val="010000"/>
          <w:sz w:val="20"/>
        </w:rPr>
        <w:t>Dividend payment in cash: 39.9% of charter capital (59.48% of distributable profit after tax), equivalent to VND 15,975,960,000;</w:t>
      </w:r>
    </w:p>
    <w:p w14:paraId="0000000C" w14:textId="77777777" w:rsidR="0059169E" w:rsidRDefault="00232E94" w:rsidP="00232E94">
      <w:pPr>
        <w:numPr>
          <w:ilvl w:val="0"/>
          <w:numId w:val="3"/>
        </w:numPr>
        <w:pBdr>
          <w:top w:val="nil"/>
          <w:left w:val="nil"/>
          <w:bottom w:val="nil"/>
          <w:right w:val="nil"/>
          <w:between w:val="nil"/>
        </w:pBdr>
        <w:tabs>
          <w:tab w:val="left" w:pos="720"/>
          <w:tab w:val="left" w:pos="1302"/>
        </w:tabs>
        <w:spacing w:after="120" w:line="360" w:lineRule="auto"/>
        <w:rPr>
          <w:rFonts w:ascii="Arial" w:eastAsia="Arial" w:hAnsi="Arial" w:cs="Arial"/>
          <w:color w:val="010000"/>
          <w:sz w:val="20"/>
          <w:szCs w:val="20"/>
        </w:rPr>
      </w:pPr>
      <w:r>
        <w:rPr>
          <w:rFonts w:ascii="Arial" w:hAnsi="Arial"/>
          <w:color w:val="010000"/>
          <w:sz w:val="20"/>
        </w:rPr>
        <w:t>Appropriation for bonus and welfare funds: 31.00% of distributable profit after tax, equivalent to VND 8,326,554,684</w:t>
      </w:r>
    </w:p>
    <w:p w14:paraId="0000000D" w14:textId="77777777" w:rsidR="0059169E" w:rsidRDefault="00232E94" w:rsidP="00232E94">
      <w:pPr>
        <w:numPr>
          <w:ilvl w:val="0"/>
          <w:numId w:val="3"/>
        </w:numPr>
        <w:pBdr>
          <w:top w:val="nil"/>
          <w:left w:val="nil"/>
          <w:bottom w:val="nil"/>
          <w:right w:val="nil"/>
          <w:between w:val="nil"/>
        </w:pBdr>
        <w:tabs>
          <w:tab w:val="left" w:pos="720"/>
          <w:tab w:val="left" w:pos="1302"/>
        </w:tabs>
        <w:spacing w:after="120" w:line="360" w:lineRule="auto"/>
        <w:rPr>
          <w:rFonts w:ascii="Arial" w:eastAsia="Arial" w:hAnsi="Arial" w:cs="Arial"/>
          <w:color w:val="010000"/>
          <w:sz w:val="20"/>
          <w:szCs w:val="20"/>
        </w:rPr>
      </w:pPr>
      <w:r>
        <w:rPr>
          <w:rFonts w:ascii="Arial" w:hAnsi="Arial"/>
          <w:color w:val="010000"/>
          <w:sz w:val="20"/>
        </w:rPr>
        <w:t>Allocation to Executive Board Bonus Fund 3.09% of distributable profit after tax, equivalent to VND 831,000,000</w:t>
      </w:r>
    </w:p>
    <w:p w14:paraId="0000000E" w14:textId="77777777" w:rsidR="0059169E" w:rsidRDefault="00232E94" w:rsidP="00232E94">
      <w:pPr>
        <w:numPr>
          <w:ilvl w:val="0"/>
          <w:numId w:val="3"/>
        </w:numPr>
        <w:pBdr>
          <w:top w:val="nil"/>
          <w:left w:val="nil"/>
          <w:bottom w:val="nil"/>
          <w:right w:val="nil"/>
          <w:between w:val="nil"/>
        </w:pBdr>
        <w:tabs>
          <w:tab w:val="left" w:pos="720"/>
          <w:tab w:val="left" w:pos="1302"/>
        </w:tabs>
        <w:spacing w:after="120" w:line="360" w:lineRule="auto"/>
        <w:rPr>
          <w:rFonts w:ascii="Arial" w:eastAsia="Arial" w:hAnsi="Arial" w:cs="Arial"/>
          <w:color w:val="010000"/>
          <w:sz w:val="20"/>
          <w:szCs w:val="20"/>
        </w:rPr>
      </w:pPr>
      <w:r>
        <w:rPr>
          <w:rFonts w:ascii="Arial" w:hAnsi="Arial"/>
          <w:color w:val="010000"/>
          <w:sz w:val="20"/>
        </w:rPr>
        <w:t>Retained undistributed profit after tax 6.43% of distributable profit after tax, equivalent to VND 1,726,339,136</w:t>
      </w:r>
    </w:p>
    <w:p w14:paraId="0000000F" w14:textId="77777777" w:rsidR="0059169E" w:rsidRDefault="00232E94" w:rsidP="00232E94">
      <w:pPr>
        <w:keepNext/>
        <w:numPr>
          <w:ilvl w:val="0"/>
          <w:numId w:val="4"/>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Pr>
          <w:rFonts w:ascii="Arial" w:hAnsi="Arial"/>
          <w:color w:val="010000"/>
          <w:sz w:val="20"/>
        </w:rPr>
        <w:t>Approve the plan on production, business and investment for 2024</w:t>
      </w:r>
    </w:p>
    <w:p w14:paraId="00000010" w14:textId="77777777" w:rsidR="0059169E" w:rsidRDefault="00232E94" w:rsidP="00232E94">
      <w:pPr>
        <w:numPr>
          <w:ilvl w:val="0"/>
          <w:numId w:val="3"/>
        </w:numPr>
        <w:pBdr>
          <w:top w:val="nil"/>
          <w:left w:val="nil"/>
          <w:bottom w:val="nil"/>
          <w:right w:val="nil"/>
          <w:between w:val="nil"/>
        </w:pBdr>
        <w:tabs>
          <w:tab w:val="left" w:pos="720"/>
          <w:tab w:val="left" w:pos="1307"/>
        </w:tabs>
        <w:spacing w:after="120" w:line="360" w:lineRule="auto"/>
        <w:rPr>
          <w:rFonts w:ascii="Arial" w:eastAsia="Arial" w:hAnsi="Arial" w:cs="Arial"/>
          <w:color w:val="010000"/>
          <w:sz w:val="20"/>
          <w:szCs w:val="20"/>
        </w:rPr>
      </w:pPr>
      <w:r>
        <w:rPr>
          <w:rFonts w:ascii="Arial" w:hAnsi="Arial"/>
          <w:color w:val="010000"/>
          <w:sz w:val="20"/>
        </w:rPr>
        <w:t>Total revenue: VND 140.0 billion;</w:t>
      </w:r>
    </w:p>
    <w:p w14:paraId="00000011" w14:textId="77777777" w:rsidR="0059169E" w:rsidRDefault="00232E94" w:rsidP="00232E94">
      <w:pPr>
        <w:numPr>
          <w:ilvl w:val="0"/>
          <w:numId w:val="3"/>
        </w:numPr>
        <w:pBdr>
          <w:top w:val="nil"/>
          <w:left w:val="nil"/>
          <w:bottom w:val="nil"/>
          <w:right w:val="nil"/>
          <w:between w:val="nil"/>
        </w:pBdr>
        <w:tabs>
          <w:tab w:val="left" w:pos="720"/>
          <w:tab w:val="left" w:pos="1307"/>
        </w:tabs>
        <w:spacing w:after="120" w:line="360" w:lineRule="auto"/>
        <w:rPr>
          <w:rFonts w:ascii="Arial" w:eastAsia="Arial" w:hAnsi="Arial" w:cs="Arial"/>
          <w:color w:val="010000"/>
          <w:sz w:val="20"/>
          <w:szCs w:val="20"/>
        </w:rPr>
      </w:pPr>
      <w:r>
        <w:rPr>
          <w:rFonts w:ascii="Arial" w:hAnsi="Arial"/>
          <w:color w:val="010000"/>
          <w:sz w:val="20"/>
        </w:rPr>
        <w:t>Profit before tax: VND 33.0 billion;</w:t>
      </w:r>
    </w:p>
    <w:p w14:paraId="00000012" w14:textId="77777777" w:rsidR="0059169E" w:rsidRDefault="00232E94" w:rsidP="00232E94">
      <w:pPr>
        <w:numPr>
          <w:ilvl w:val="0"/>
          <w:numId w:val="3"/>
        </w:numPr>
        <w:pBdr>
          <w:top w:val="nil"/>
          <w:left w:val="nil"/>
          <w:bottom w:val="nil"/>
          <w:right w:val="nil"/>
          <w:between w:val="nil"/>
        </w:pBdr>
        <w:tabs>
          <w:tab w:val="left" w:pos="720"/>
          <w:tab w:val="left" w:pos="1307"/>
        </w:tabs>
        <w:spacing w:after="120" w:line="360" w:lineRule="auto"/>
        <w:rPr>
          <w:rFonts w:ascii="Arial" w:eastAsia="Arial" w:hAnsi="Arial" w:cs="Arial"/>
          <w:color w:val="010000"/>
          <w:sz w:val="20"/>
          <w:szCs w:val="20"/>
        </w:rPr>
      </w:pPr>
      <w:r>
        <w:rPr>
          <w:rFonts w:ascii="Arial" w:hAnsi="Arial"/>
          <w:color w:val="010000"/>
          <w:sz w:val="20"/>
        </w:rPr>
        <w:t>Dividend payment: at least 30.0% of charter capital</w:t>
      </w:r>
    </w:p>
    <w:p w14:paraId="00000013" w14:textId="77777777" w:rsidR="0059169E" w:rsidRDefault="00232E94" w:rsidP="00232E94">
      <w:pPr>
        <w:numPr>
          <w:ilvl w:val="0"/>
          <w:numId w:val="3"/>
        </w:numPr>
        <w:pBdr>
          <w:top w:val="nil"/>
          <w:left w:val="nil"/>
          <w:bottom w:val="nil"/>
          <w:right w:val="nil"/>
          <w:between w:val="nil"/>
        </w:pBdr>
        <w:tabs>
          <w:tab w:val="left" w:pos="720"/>
          <w:tab w:val="left" w:pos="1307"/>
        </w:tabs>
        <w:spacing w:after="120" w:line="360" w:lineRule="auto"/>
        <w:rPr>
          <w:rFonts w:ascii="Arial" w:eastAsia="Arial" w:hAnsi="Arial" w:cs="Arial"/>
          <w:color w:val="010000"/>
          <w:sz w:val="20"/>
          <w:szCs w:val="20"/>
        </w:rPr>
      </w:pPr>
      <w:r>
        <w:rPr>
          <w:rFonts w:ascii="Arial" w:hAnsi="Arial"/>
          <w:color w:val="010000"/>
          <w:sz w:val="20"/>
        </w:rPr>
        <w:t>Development investment: VND 8.740 billion;</w:t>
      </w:r>
    </w:p>
    <w:p w14:paraId="00000014" w14:textId="77777777" w:rsidR="0059169E" w:rsidRDefault="00232E94" w:rsidP="00232E94">
      <w:pPr>
        <w:numPr>
          <w:ilvl w:val="0"/>
          <w:numId w:val="4"/>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Pr>
          <w:rFonts w:ascii="Arial" w:hAnsi="Arial"/>
          <w:color w:val="010000"/>
          <w:sz w:val="20"/>
        </w:rPr>
        <w:t>Approve the Report on the Board of Directors' activities in 2023 at the General Meeting.</w:t>
      </w:r>
    </w:p>
    <w:p w14:paraId="00000015" w14:textId="77777777" w:rsidR="0059169E" w:rsidRDefault="00232E94" w:rsidP="00232E94">
      <w:pPr>
        <w:numPr>
          <w:ilvl w:val="0"/>
          <w:numId w:val="4"/>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Pr>
          <w:rFonts w:ascii="Arial" w:hAnsi="Arial"/>
          <w:color w:val="010000"/>
          <w:sz w:val="20"/>
        </w:rPr>
        <w:t>Approve the Report on the Supervisory Board's activities in 2023 at the General Meeting.</w:t>
      </w:r>
    </w:p>
    <w:p w14:paraId="00000016" w14:textId="77777777" w:rsidR="0059169E" w:rsidRDefault="00232E94" w:rsidP="00232E94">
      <w:pPr>
        <w:keepNext/>
        <w:numPr>
          <w:ilvl w:val="0"/>
          <w:numId w:val="4"/>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Pr>
          <w:rFonts w:ascii="Arial" w:hAnsi="Arial"/>
          <w:color w:val="010000"/>
          <w:sz w:val="20"/>
        </w:rPr>
        <w:t>Approve the remuneration and salary of the manager</w:t>
      </w:r>
    </w:p>
    <w:p w14:paraId="00000017" w14:textId="77777777" w:rsidR="0059169E" w:rsidRDefault="00232E94" w:rsidP="00232E94">
      <w:pPr>
        <w:numPr>
          <w:ilvl w:val="1"/>
          <w:numId w:val="4"/>
        </w:num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payment results in 2023:</w:t>
      </w:r>
    </w:p>
    <w:p w14:paraId="00000018" w14:textId="77777777" w:rsidR="0059169E" w:rsidRDefault="00232E94" w:rsidP="00232E94">
      <w:pPr>
        <w:numPr>
          <w:ilvl w:val="0"/>
          <w:numId w:val="3"/>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Pr>
          <w:rFonts w:ascii="Arial" w:hAnsi="Arial"/>
          <w:color w:val="010000"/>
          <w:sz w:val="20"/>
        </w:rPr>
        <w:lastRenderedPageBreak/>
        <w:t>Remuneration in 2023:</w:t>
      </w:r>
    </w:p>
    <w:p w14:paraId="00000019" w14:textId="77777777" w:rsidR="0059169E" w:rsidRDefault="00232E94" w:rsidP="00232E94">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Member of the Board of Directors (non-executive) VND 3,000,000 per member per month</w:t>
      </w:r>
    </w:p>
    <w:p w14:paraId="0000001A" w14:textId="77777777" w:rsidR="0059169E" w:rsidRDefault="00232E94" w:rsidP="00232E94">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Non-executive member of the Supervisory Board VND 2,000,000/person/month;</w:t>
      </w:r>
    </w:p>
    <w:p w14:paraId="0000001B" w14:textId="77777777" w:rsidR="0059169E" w:rsidRDefault="00232E94" w:rsidP="00232E94">
      <w:pPr>
        <w:numPr>
          <w:ilvl w:val="0"/>
          <w:numId w:val="3"/>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Pr>
          <w:rFonts w:ascii="Arial" w:hAnsi="Arial"/>
          <w:color w:val="010000"/>
          <w:sz w:val="20"/>
        </w:rPr>
        <w:t>The salary fund of the Chair of the Board of Directors, Chief of the Supervisory Board, General Manager, and the company's Executive Board in 2023 is VND 6,457 million.</w:t>
      </w:r>
    </w:p>
    <w:p w14:paraId="0000001C" w14:textId="77777777" w:rsidR="0059169E" w:rsidRDefault="00232E94" w:rsidP="00EF3144">
      <w:pPr>
        <w:pBdr>
          <w:top w:val="nil"/>
          <w:left w:val="nil"/>
          <w:bottom w:val="nil"/>
          <w:right w:val="nil"/>
          <w:between w:val="nil"/>
        </w:pBdr>
        <w:spacing w:after="120" w:line="360" w:lineRule="auto"/>
        <w:jc w:val="both"/>
        <w:rPr>
          <w:rFonts w:ascii="Arial" w:eastAsia="Arial" w:hAnsi="Arial" w:cs="Arial"/>
          <w:color w:val="010000"/>
          <w:sz w:val="20"/>
          <w:szCs w:val="20"/>
        </w:rPr>
      </w:pPr>
      <w:bookmarkStart w:id="0" w:name="_GoBack"/>
      <w:r>
        <w:rPr>
          <w:rFonts w:ascii="Arial" w:hAnsi="Arial"/>
          <w:color w:val="010000"/>
          <w:sz w:val="20"/>
        </w:rPr>
        <w:t>In addition to remuneration and salary, the income of members of the Board of Directors, Supervisory Board, General Manager, and the company's Executive Board is implemented in accordance with the State's regulations, the company's Charter, and regulations such as meal allowances, bonuses, business trip allowances, and other legitimate benefits.</w:t>
      </w:r>
    </w:p>
    <w:p w14:paraId="0000001D" w14:textId="77777777" w:rsidR="0059169E" w:rsidRDefault="00232E94" w:rsidP="00EF3144">
      <w:pPr>
        <w:numPr>
          <w:ilvl w:val="1"/>
          <w:numId w:val="4"/>
        </w:num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Approve the planned remuneration and salary for 2024:</w:t>
      </w:r>
    </w:p>
    <w:p w14:paraId="0000001E" w14:textId="77777777" w:rsidR="0059169E" w:rsidRDefault="00232E94" w:rsidP="00EF3144">
      <w:pPr>
        <w:numPr>
          <w:ilvl w:val="0"/>
          <w:numId w:val="3"/>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Pr>
          <w:rFonts w:ascii="Arial" w:hAnsi="Arial"/>
          <w:color w:val="010000"/>
          <w:sz w:val="20"/>
        </w:rPr>
        <w:t>Remuneration in 2024:</w:t>
      </w:r>
    </w:p>
    <w:p w14:paraId="0000001F" w14:textId="7F63462B" w:rsidR="0059169E" w:rsidRDefault="00232E94" w:rsidP="00EF3144">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olor w:val="010000"/>
          <w:sz w:val="20"/>
        </w:rPr>
        <w:t>Members of the Board of Directors (non-executive) (04 people): VND 4,000,000/person/month; VND 192,000,000.</w:t>
      </w:r>
    </w:p>
    <w:p w14:paraId="00000020" w14:textId="77777777" w:rsidR="0059169E" w:rsidRDefault="00232E94" w:rsidP="00EF3144">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olor w:val="010000"/>
          <w:sz w:val="20"/>
        </w:rPr>
        <w:t>Members of the Supervisory Board (non-executive) (02 people): VND 3,000,000/person/month; Whole year VND 72,000,000.</w:t>
      </w:r>
    </w:p>
    <w:p w14:paraId="00000021" w14:textId="77777777" w:rsidR="0059169E" w:rsidRDefault="00232E94" w:rsidP="00EF3144">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olor w:val="010000"/>
          <w:sz w:val="20"/>
        </w:rPr>
        <w:t>Salary and income of members of the Board of Directors, Supervisory Board, General Manager, and other managers:</w:t>
      </w:r>
    </w:p>
    <w:p w14:paraId="00000022" w14:textId="77777777" w:rsidR="0059169E" w:rsidRDefault="00232E94" w:rsidP="00EF3144">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olor w:val="010000"/>
          <w:sz w:val="20"/>
        </w:rPr>
        <w:t>Executive members of the Board of Directors and Supervisory Board: Executive Chair of the Board of Directors: VND 105,159,600/month, annual: VND 1,261,915,200. Executive Chief of the Supervisory Board VND 35,232,960/month, annual: VND 422,795,520.</w:t>
      </w:r>
    </w:p>
    <w:p w14:paraId="00000023" w14:textId="1E87E6B8" w:rsidR="0059169E" w:rsidRDefault="00232E94" w:rsidP="00EF314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In addition to remuneration and salary, the income and some legitimate benefits of executive members of the Board of Directors and Supervisory Board are implemented in accordance with the State's regulations, the company's Charter, and regulations.</w:t>
      </w:r>
    </w:p>
    <w:p w14:paraId="00000024" w14:textId="77777777" w:rsidR="0059169E" w:rsidRDefault="00232E94" w:rsidP="00EF3144">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The members of the Board of Directors and Supervisory Board working on a non-executive basis, the General Manager, and other managers: salary and income distribution according to the company's Charter, regulations, and in accordance with current legal regulations. </w:t>
      </w:r>
    </w:p>
    <w:p w14:paraId="00000025" w14:textId="77777777" w:rsidR="0059169E" w:rsidRDefault="00232E94" w:rsidP="00EF3144">
      <w:pPr>
        <w:keepNext/>
        <w:numPr>
          <w:ilvl w:val="0"/>
          <w:numId w:val="4"/>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Pr>
          <w:rFonts w:ascii="Arial" w:hAnsi="Arial"/>
          <w:color w:val="010000"/>
          <w:sz w:val="20"/>
        </w:rPr>
        <w:t>Approve the list of audit companies for the Financial Statements 2024, including:</w:t>
      </w:r>
    </w:p>
    <w:p w14:paraId="00000026" w14:textId="77777777" w:rsidR="0059169E" w:rsidRDefault="00232E94" w:rsidP="00EF3144">
      <w:pPr>
        <w:numPr>
          <w:ilvl w:val="0"/>
          <w:numId w:val="3"/>
        </w:numPr>
        <w:pBdr>
          <w:top w:val="nil"/>
          <w:left w:val="nil"/>
          <w:bottom w:val="nil"/>
          <w:right w:val="nil"/>
          <w:between w:val="nil"/>
        </w:pBdr>
        <w:tabs>
          <w:tab w:val="left" w:pos="720"/>
          <w:tab w:val="left" w:pos="1287"/>
        </w:tabs>
        <w:spacing w:after="120" w:line="360" w:lineRule="auto"/>
        <w:jc w:val="both"/>
        <w:rPr>
          <w:rFonts w:ascii="Arial" w:eastAsia="Arial" w:hAnsi="Arial" w:cs="Arial"/>
          <w:color w:val="010000"/>
          <w:sz w:val="20"/>
          <w:szCs w:val="20"/>
        </w:rPr>
      </w:pPr>
      <w:r>
        <w:rPr>
          <w:rFonts w:ascii="Arial" w:hAnsi="Arial"/>
          <w:color w:val="010000"/>
          <w:sz w:val="20"/>
        </w:rPr>
        <w:t>UHY Audit &amp; Advisory Services Limited</w:t>
      </w:r>
    </w:p>
    <w:p w14:paraId="00000027" w14:textId="77777777" w:rsidR="0059169E" w:rsidRDefault="00232E94" w:rsidP="00EF3144">
      <w:pPr>
        <w:numPr>
          <w:ilvl w:val="0"/>
          <w:numId w:val="3"/>
        </w:numPr>
        <w:pBdr>
          <w:top w:val="nil"/>
          <w:left w:val="nil"/>
          <w:bottom w:val="nil"/>
          <w:right w:val="nil"/>
          <w:between w:val="nil"/>
        </w:pBdr>
        <w:tabs>
          <w:tab w:val="left" w:pos="720"/>
          <w:tab w:val="left" w:pos="1287"/>
        </w:tabs>
        <w:spacing w:after="120" w:line="360" w:lineRule="auto"/>
        <w:jc w:val="both"/>
        <w:rPr>
          <w:rFonts w:ascii="Arial" w:eastAsia="Arial" w:hAnsi="Arial" w:cs="Arial"/>
          <w:color w:val="010000"/>
          <w:sz w:val="20"/>
          <w:szCs w:val="20"/>
        </w:rPr>
      </w:pPr>
      <w:r>
        <w:rPr>
          <w:rFonts w:ascii="Arial" w:hAnsi="Arial"/>
          <w:color w:val="010000"/>
          <w:sz w:val="20"/>
        </w:rPr>
        <w:t>Moore AISC Auditing and Informatics Services Co., Ltd. (MOORE AISC)</w:t>
      </w:r>
    </w:p>
    <w:p w14:paraId="00000028" w14:textId="77777777" w:rsidR="0059169E" w:rsidRDefault="00232E94" w:rsidP="00EF3144">
      <w:pPr>
        <w:numPr>
          <w:ilvl w:val="0"/>
          <w:numId w:val="3"/>
        </w:numPr>
        <w:pBdr>
          <w:top w:val="nil"/>
          <w:left w:val="nil"/>
          <w:bottom w:val="nil"/>
          <w:right w:val="nil"/>
          <w:between w:val="nil"/>
        </w:pBdr>
        <w:tabs>
          <w:tab w:val="left" w:pos="720"/>
          <w:tab w:val="left" w:pos="1287"/>
        </w:tabs>
        <w:spacing w:after="120" w:line="360" w:lineRule="auto"/>
        <w:jc w:val="both"/>
        <w:rPr>
          <w:rFonts w:ascii="Arial" w:eastAsia="Arial" w:hAnsi="Arial" w:cs="Arial"/>
          <w:color w:val="010000"/>
          <w:sz w:val="20"/>
          <w:szCs w:val="20"/>
        </w:rPr>
      </w:pPr>
      <w:r>
        <w:rPr>
          <w:rFonts w:ascii="Arial" w:hAnsi="Arial"/>
          <w:color w:val="010000"/>
          <w:sz w:val="20"/>
        </w:rPr>
        <w:t>International Auditing and Valuation Co., Ltd. (IAV)</w:t>
      </w:r>
    </w:p>
    <w:p w14:paraId="00000029" w14:textId="77777777" w:rsidR="0059169E" w:rsidRDefault="00232E94" w:rsidP="00EF314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In case an agreement cannot be reached with the audit companies in the list approved by the Annual General Meeting of Shareholders 2024 regarding the scope, progress, and audit fees, the General Meeting of Shareholders agrees to authorize the company's Board of Directors to select another audit company from the list specified in Decision No. 2559/QD-BTC dated November 20, 2023, by the </w:t>
      </w:r>
      <w:r>
        <w:rPr>
          <w:rFonts w:ascii="Arial" w:hAnsi="Arial"/>
          <w:color w:val="010000"/>
          <w:sz w:val="20"/>
        </w:rPr>
        <w:lastRenderedPageBreak/>
        <w:t>Ministry of Finance.</w:t>
      </w:r>
    </w:p>
    <w:p w14:paraId="0000002A" w14:textId="77777777" w:rsidR="0059169E" w:rsidRDefault="00232E94" w:rsidP="00EF314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2. This General Mandate was approved by the Annual General Meeting of Shareholders 2024 at the meeting and takes effect from April 19, 2024.</w:t>
      </w:r>
    </w:p>
    <w:p w14:paraId="0000002B" w14:textId="77777777" w:rsidR="0059169E" w:rsidRDefault="00232E94" w:rsidP="00EF314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3. The General Meeting of Shareholders assigns the Board of Directors and the Supervisory Board, based on their functions and duties, to organize the implementation in accordance with the provisions of the Law and the company's Charter, ensuring the interests of the company and shareholders. Report the implementation results to the next Annual General Meeting of Shareholders.</w:t>
      </w:r>
    </w:p>
    <w:bookmarkEnd w:id="0"/>
    <w:p w14:paraId="0000002C" w14:textId="77777777" w:rsidR="0059169E" w:rsidRDefault="0059169E" w:rsidP="00232E94">
      <w:pPr>
        <w:pBdr>
          <w:top w:val="nil"/>
          <w:left w:val="nil"/>
          <w:bottom w:val="nil"/>
          <w:right w:val="nil"/>
          <w:between w:val="nil"/>
        </w:pBdr>
        <w:tabs>
          <w:tab w:val="left" w:pos="4431"/>
        </w:tabs>
        <w:spacing w:after="120" w:line="360" w:lineRule="auto"/>
        <w:rPr>
          <w:rFonts w:ascii="Arial" w:eastAsia="Arial" w:hAnsi="Arial" w:cs="Arial"/>
          <w:color w:val="010000"/>
          <w:sz w:val="20"/>
          <w:szCs w:val="20"/>
        </w:rPr>
      </w:pPr>
    </w:p>
    <w:sectPr w:rsidR="0059169E">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Aptos Display">
    <w:panose1 w:val="00000000000000000000"/>
    <w:charset w:val="00"/>
    <w:family w:val="roman"/>
    <w:notTrueType/>
    <w:pitch w:val="default"/>
  </w:font>
  <w:font w:name="等线">
    <w:panose1 w:val="00000000000000000000"/>
    <w:charset w:val="8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45924"/>
    <w:multiLevelType w:val="multilevel"/>
    <w:tmpl w:val="FEDCF510"/>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A9F436D"/>
    <w:multiLevelType w:val="multilevel"/>
    <w:tmpl w:val="BB9851B8"/>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62214C7A"/>
    <w:multiLevelType w:val="multilevel"/>
    <w:tmpl w:val="70CA93A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7F9E2A3A"/>
    <w:multiLevelType w:val="multilevel"/>
    <w:tmpl w:val="7384F92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69E"/>
    <w:rsid w:val="00232E94"/>
    <w:rsid w:val="0059169E"/>
    <w:rsid w:val="00EF31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3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color w:val="ED5D69"/>
      <w:sz w:val="16"/>
      <w:szCs w:val="16"/>
      <w:u w:val="none"/>
      <w:shd w:val="clear" w:color="auto" w:fill="auto"/>
    </w:rPr>
  </w:style>
  <w:style w:type="paragraph" w:customStyle="1" w:styleId="Vnbnnidung0">
    <w:name w:val="Văn bản nội dung"/>
    <w:basedOn w:val="Normal"/>
    <w:link w:val="Vnbnnidung"/>
    <w:pPr>
      <w:ind w:firstLine="400"/>
    </w:pPr>
    <w:rPr>
      <w:rFonts w:ascii="Times New Roman" w:eastAsia="Times New Roman" w:hAnsi="Times New Roman" w:cs="Times New Roman"/>
      <w:sz w:val="26"/>
      <w:szCs w:val="26"/>
    </w:rPr>
  </w:style>
  <w:style w:type="paragraph" w:customStyle="1" w:styleId="Tiu10">
    <w:name w:val="Tiêu đề #1"/>
    <w:basedOn w:val="Normal"/>
    <w:link w:val="Tiu1"/>
    <w:pPr>
      <w:ind w:left="300" w:firstLine="740"/>
      <w:outlineLvl w:val="0"/>
    </w:pPr>
    <w:rPr>
      <w:rFonts w:ascii="Times New Roman" w:eastAsia="Times New Roman" w:hAnsi="Times New Roman" w:cs="Times New Roman"/>
      <w:b/>
      <w:bCs/>
      <w:sz w:val="26"/>
      <w:szCs w:val="26"/>
    </w:rPr>
  </w:style>
  <w:style w:type="paragraph" w:customStyle="1" w:styleId="Vnbnnidung20">
    <w:name w:val="Văn bản nội dung (2)"/>
    <w:basedOn w:val="Normal"/>
    <w:link w:val="Vnbnnidung2"/>
    <w:pPr>
      <w:spacing w:line="331" w:lineRule="auto"/>
      <w:jc w:val="center"/>
    </w:pPr>
    <w:rPr>
      <w:rFonts w:ascii="Arial" w:eastAsia="Arial" w:hAnsi="Arial" w:cs="Arial"/>
      <w:b/>
      <w:bCs/>
      <w:color w:val="ED5D69"/>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color w:val="ED5D69"/>
      <w:sz w:val="16"/>
      <w:szCs w:val="16"/>
      <w:u w:val="none"/>
      <w:shd w:val="clear" w:color="auto" w:fill="auto"/>
    </w:rPr>
  </w:style>
  <w:style w:type="paragraph" w:customStyle="1" w:styleId="Vnbnnidung0">
    <w:name w:val="Văn bản nội dung"/>
    <w:basedOn w:val="Normal"/>
    <w:link w:val="Vnbnnidung"/>
    <w:pPr>
      <w:ind w:firstLine="400"/>
    </w:pPr>
    <w:rPr>
      <w:rFonts w:ascii="Times New Roman" w:eastAsia="Times New Roman" w:hAnsi="Times New Roman" w:cs="Times New Roman"/>
      <w:sz w:val="26"/>
      <w:szCs w:val="26"/>
    </w:rPr>
  </w:style>
  <w:style w:type="paragraph" w:customStyle="1" w:styleId="Tiu10">
    <w:name w:val="Tiêu đề #1"/>
    <w:basedOn w:val="Normal"/>
    <w:link w:val="Tiu1"/>
    <w:pPr>
      <w:ind w:left="300" w:firstLine="740"/>
      <w:outlineLvl w:val="0"/>
    </w:pPr>
    <w:rPr>
      <w:rFonts w:ascii="Times New Roman" w:eastAsia="Times New Roman" w:hAnsi="Times New Roman" w:cs="Times New Roman"/>
      <w:b/>
      <w:bCs/>
      <w:sz w:val="26"/>
      <w:szCs w:val="26"/>
    </w:rPr>
  </w:style>
  <w:style w:type="paragraph" w:customStyle="1" w:styleId="Vnbnnidung20">
    <w:name w:val="Văn bản nội dung (2)"/>
    <w:basedOn w:val="Normal"/>
    <w:link w:val="Vnbnnidung2"/>
    <w:pPr>
      <w:spacing w:line="331" w:lineRule="auto"/>
      <w:jc w:val="center"/>
    </w:pPr>
    <w:rPr>
      <w:rFonts w:ascii="Arial" w:eastAsia="Arial" w:hAnsi="Arial" w:cs="Arial"/>
      <w:b/>
      <w:bCs/>
      <w:color w:val="ED5D69"/>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KJjrA2u542YOuk9etHZ9qh6CYw==">CgMxLjA4AHIhMWtFSHVoRjA0RXluOXRRWmhCQlBVbUN2T281UTJPeUN6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739</Words>
  <Characters>4215</Characters>
  <Application>Microsoft Office Word</Application>
  <DocSecurity>0</DocSecurity>
  <Lines>35</Lines>
  <Paragraphs>9</Paragraphs>
  <ScaleCrop>false</ScaleCrop>
  <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3</cp:revision>
  <dcterms:created xsi:type="dcterms:W3CDTF">2024-04-24T01:21:00Z</dcterms:created>
  <dcterms:modified xsi:type="dcterms:W3CDTF">2024-04-25T09:17:00Z</dcterms:modified>
</cp:coreProperties>
</file>