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27" w:rsidRPr="00841FC6" w:rsidRDefault="00841FC6" w:rsidP="00841FC6">
      <w:pPr>
        <w:pBdr>
          <w:top w:val="nil"/>
          <w:left w:val="nil"/>
          <w:bottom w:val="nil"/>
          <w:right w:val="nil"/>
          <w:between w:val="nil"/>
        </w:pBdr>
        <w:spacing w:after="120" w:line="360" w:lineRule="auto"/>
        <w:rPr>
          <w:b/>
          <w:color w:val="010000"/>
          <w:sz w:val="20"/>
          <w:szCs w:val="20"/>
          <w:rFonts w:ascii="Arial" w:eastAsia="Arial" w:hAnsi="Arial" w:cs="Arial"/>
        </w:rPr>
      </w:pPr>
      <w:r>
        <w:rPr>
          <w:b/>
          <w:color w:val="010000"/>
          <w:sz w:val="20"/>
          <w:rFonts w:ascii="Arial" w:hAnsi="Arial"/>
        </w:rPr>
        <w:t xml:space="preserve">VVS:</w:t>
      </w:r>
      <w:r>
        <w:rPr>
          <w:b/>
          <w:color w:val="010000"/>
          <w:sz w:val="20"/>
          <w:rFonts w:ascii="Arial" w:hAnsi="Arial"/>
        </w:rPr>
        <w:t xml:space="preserve"> </w:t>
      </w:r>
      <w:r>
        <w:rPr>
          <w:b/>
          <w:color w:val="010000"/>
          <w:sz w:val="20"/>
          <w:rFonts w:ascii="Arial" w:hAnsi="Arial"/>
        </w:rPr>
        <w:t xml:space="preserve">Annual General Mandate</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On April 20, 2024, Vietnam Machine Investment Development Joint Stock Company announced General Mandate No. 01/2024/NQ-DHDCDTN-VIMID as follows:</w:t>
      </w:r>
      <w:r>
        <w:rPr>
          <w:color w:val="010000"/>
          <w:sz w:val="20"/>
          <w:rFonts w:ascii="Arial" w:hAnsi="Arial"/>
        </w:rPr>
        <w:t xml:space="preserve"> </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1:</w:t>
      </w:r>
      <w:r>
        <w:rPr>
          <w:color w:val="010000"/>
          <w:sz w:val="20"/>
          <w:rFonts w:ascii="Arial" w:hAnsi="Arial"/>
        </w:rPr>
        <w:t xml:space="preserve"> </w:t>
      </w:r>
      <w:r>
        <w:rPr>
          <w:color w:val="010000"/>
          <w:sz w:val="20"/>
          <w:rFonts w:ascii="Arial" w:hAnsi="Arial"/>
        </w:rPr>
        <w:t xml:space="preserve">Approve the Report of the Board of Directors on the operation results of the Board of Directors in 2023;</w:t>
      </w:r>
    </w:p>
    <w:p w:rsidR="00841FC6"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Result of 2023 business activities:</w:t>
      </w:r>
    </w:p>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Unit:</w:t>
      </w:r>
      <w:r>
        <w:rPr>
          <w:sz w:val="20"/>
          <w:rFonts w:ascii="Arial" w:hAnsi="Arial"/>
        </w:rPr>
        <w:t xml:space="preserve"> </w:t>
      </w:r>
      <w:r>
        <w:rPr>
          <w:sz w:val="20"/>
          <w:rFonts w:ascii="Arial" w:hAnsi="Arial"/>
        </w:rPr>
        <w:t xml:space="preserve">VND</w:t>
      </w:r>
    </w:p>
    <w:tbl>
      <w:tblPr>
        <w:tblW w:w="5000" w:type="pct"/>
        <w:tblCellMar>
          <w:left w:w="0" w:type="dxa"/>
          <w:right w:w="0" w:type="dxa"/>
        </w:tblCellMar>
        <w:tblLook w:val="0000" w:firstRow="0" w:lastRow="0" w:firstColumn="0" w:lastColumn="0" w:noHBand="0" w:noVBand="0"/>
      </w:tblPr>
      <w:tblGrid>
        <w:gridCol w:w="790"/>
        <w:gridCol w:w="5320"/>
        <w:gridCol w:w="2907"/>
      </w:tblGrid>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No.</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Target</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In 2023</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1</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Total asset value</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1,870,801,077,377</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2</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Owners’ equity</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284,095,269,934</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3</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Net revenue</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2,265,032,292,937</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4</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Profit from business activities</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22,281,459,501</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5</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Other profits</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-503,857,211</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6</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Profit before tax</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21,777,602,290</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7</w:t>
            </w:r>
          </w:p>
        </w:tc>
        <w:tc>
          <w:tcPr>
            <w:tcW w:w="2950"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Profit after tax</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17,271,947,190</w:t>
            </w:r>
          </w:p>
        </w:tc>
      </w:tr>
      <w:tr w:rsidR="00841FC6" w:rsidRPr="00841FC6" w:rsidTr="00841FC6">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8</w:t>
            </w:r>
          </w:p>
        </w:tc>
        <w:tc>
          <w:tcPr>
            <w:tcW w:w="2950"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Dividend payment rate:</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w:t>
            </w:r>
          </w:p>
        </w:tc>
      </w:tr>
    </w:tbl>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2:</w:t>
      </w:r>
      <w:r>
        <w:rPr>
          <w:color w:val="010000"/>
          <w:sz w:val="20"/>
          <w:rFonts w:ascii="Arial" w:hAnsi="Arial"/>
        </w:rPr>
        <w:t xml:space="preserve"> </w:t>
      </w:r>
      <w:r>
        <w:rPr>
          <w:color w:val="010000"/>
          <w:sz w:val="20"/>
          <w:rFonts w:ascii="Arial" w:hAnsi="Arial"/>
        </w:rPr>
        <w:t xml:space="preserve">Approve the evaluation report of the independent member of the Board of Directors in the Audit Committee.</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3:</w:t>
      </w:r>
      <w:r>
        <w:rPr>
          <w:color w:val="010000"/>
          <w:sz w:val="20"/>
          <w:rFonts w:ascii="Arial" w:hAnsi="Arial"/>
        </w:rPr>
        <w:t xml:space="preserve"> </w:t>
      </w:r>
      <w:r>
        <w:rPr>
          <w:color w:val="010000"/>
          <w:sz w:val="20"/>
          <w:rFonts w:ascii="Arial" w:hAnsi="Arial"/>
        </w:rPr>
        <w:t xml:space="preserve">Approve the report of the Board of Managers on the company's business results in 2023.</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4:</w:t>
      </w:r>
      <w:r>
        <w:rPr>
          <w:color w:val="010000"/>
          <w:sz w:val="20"/>
          <w:rFonts w:ascii="Arial" w:hAnsi="Arial"/>
        </w:rPr>
        <w:t xml:space="preserve"> </w:t>
      </w:r>
      <w:r>
        <w:rPr>
          <w:color w:val="010000"/>
          <w:sz w:val="20"/>
          <w:rFonts w:ascii="Arial" w:hAnsi="Arial"/>
        </w:rPr>
        <w:t xml:space="preserve">Approve the company's Financial Statements 2023 audited by Nam Viet Auditing and Accounting Financial Consulting Services Co., Ltd. (AASCN).</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5:</w:t>
      </w:r>
      <w:r>
        <w:rPr>
          <w:color w:val="010000"/>
          <w:sz w:val="20"/>
          <w:rFonts w:ascii="Arial" w:hAnsi="Arial"/>
        </w:rPr>
        <w:t xml:space="preserve"> </w:t>
      </w:r>
      <w:r>
        <w:rPr>
          <w:color w:val="010000"/>
          <w:sz w:val="20"/>
          <w:rFonts w:ascii="Arial" w:hAnsi="Arial"/>
        </w:rPr>
        <w:t xml:space="preserve">Approve the Business Plan for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6"/>
        <w:gridCol w:w="4352"/>
        <w:gridCol w:w="3789"/>
      </w:tblGrid>
      <w:tr w:rsidR="009F2827" w:rsidRPr="00841FC6" w:rsidTr="00841FC6">
        <w:tc>
          <w:tcPr>
            <w:tcW w:w="486"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center"/>
              <w:rPr>
                <w:color w:val="010000"/>
                <w:sz w:val="20"/>
                <w:szCs w:val="20"/>
                <w:rFonts w:ascii="Arial" w:eastAsia="Arial" w:hAnsi="Arial" w:cs="Arial"/>
              </w:rPr>
            </w:pPr>
            <w:r>
              <w:rPr>
                <w:color w:val="010000"/>
                <w:sz w:val="20"/>
                <w:rFonts w:ascii="Arial" w:hAnsi="Arial"/>
              </w:rPr>
              <w:t xml:space="preserve">No.</w:t>
            </w:r>
          </w:p>
        </w:tc>
        <w:tc>
          <w:tcPr>
            <w:tcW w:w="2413"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center"/>
              <w:rPr>
                <w:color w:val="010000"/>
                <w:sz w:val="20"/>
                <w:szCs w:val="20"/>
                <w:rFonts w:ascii="Arial" w:eastAsia="Arial" w:hAnsi="Arial" w:cs="Arial"/>
              </w:rPr>
            </w:pPr>
            <w:r>
              <w:rPr>
                <w:color w:val="010000"/>
                <w:sz w:val="20"/>
                <w:rFonts w:ascii="Arial" w:hAnsi="Arial"/>
              </w:rPr>
              <w:t xml:space="preserve">Target</w:t>
            </w:r>
          </w:p>
        </w:tc>
        <w:tc>
          <w:tcPr>
            <w:tcW w:w="2101"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center"/>
              <w:rPr>
                <w:color w:val="010000"/>
                <w:sz w:val="20"/>
                <w:szCs w:val="20"/>
                <w:rFonts w:ascii="Arial" w:eastAsia="Arial" w:hAnsi="Arial" w:cs="Arial"/>
              </w:rPr>
            </w:pPr>
            <w:r>
              <w:rPr>
                <w:color w:val="010000"/>
                <w:sz w:val="20"/>
                <w:rFonts w:ascii="Arial" w:hAnsi="Arial"/>
              </w:rPr>
              <w:t xml:space="preserve">Plan in 2024 (VND)</w:t>
            </w:r>
          </w:p>
        </w:tc>
      </w:tr>
      <w:tr w:rsidR="009F2827" w:rsidRPr="00841FC6" w:rsidTr="00841FC6">
        <w:tc>
          <w:tcPr>
            <w:tcW w:w="486"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center"/>
              <w:rPr>
                <w:color w:val="010000"/>
                <w:sz w:val="20"/>
                <w:szCs w:val="20"/>
                <w:rFonts w:ascii="Arial" w:eastAsia="Arial" w:hAnsi="Arial" w:cs="Arial"/>
              </w:rPr>
            </w:pPr>
            <w:r>
              <w:rPr>
                <w:color w:val="010000"/>
                <w:sz w:val="20"/>
                <w:rFonts w:ascii="Arial" w:hAnsi="Arial"/>
              </w:rPr>
              <w:t xml:space="preserve">1</w:t>
            </w:r>
          </w:p>
        </w:tc>
        <w:tc>
          <w:tcPr>
            <w:tcW w:w="2413"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Revenue</w:t>
            </w:r>
          </w:p>
        </w:tc>
        <w:tc>
          <w:tcPr>
            <w:tcW w:w="2101"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right"/>
              <w:rPr>
                <w:color w:val="010000"/>
                <w:sz w:val="20"/>
                <w:szCs w:val="20"/>
                <w:rFonts w:ascii="Arial" w:eastAsia="Arial" w:hAnsi="Arial" w:cs="Arial"/>
              </w:rPr>
            </w:pPr>
            <w:r>
              <w:rPr>
                <w:color w:val="010000"/>
                <w:sz w:val="20"/>
                <w:rFonts w:ascii="Arial" w:hAnsi="Arial"/>
              </w:rPr>
              <w:t xml:space="preserve">3,000,000,000,000</w:t>
            </w:r>
          </w:p>
        </w:tc>
      </w:tr>
      <w:tr w:rsidR="009F2827" w:rsidRPr="00841FC6" w:rsidTr="00841FC6">
        <w:tc>
          <w:tcPr>
            <w:tcW w:w="486"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center"/>
              <w:rPr>
                <w:color w:val="010000"/>
                <w:sz w:val="20"/>
                <w:szCs w:val="20"/>
                <w:rFonts w:ascii="Arial" w:eastAsia="Arial" w:hAnsi="Arial" w:cs="Arial"/>
              </w:rPr>
            </w:pPr>
            <w:r>
              <w:rPr>
                <w:color w:val="010000"/>
                <w:sz w:val="20"/>
                <w:rFonts w:ascii="Arial" w:hAnsi="Arial"/>
              </w:rPr>
              <w:t xml:space="preserve">2</w:t>
            </w:r>
          </w:p>
        </w:tc>
        <w:tc>
          <w:tcPr>
            <w:tcW w:w="2413"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Profit before tax</w:t>
            </w:r>
          </w:p>
        </w:tc>
        <w:tc>
          <w:tcPr>
            <w:tcW w:w="2101" w:type="pct"/>
            <w:shd w:val="clear" w:color="auto" w:fill="auto"/>
            <w:tcMar>
              <w:top w:w="0" w:type="dxa"/>
              <w:bottom w:w="0" w:type="dxa"/>
            </w:tcMar>
            <w:vAlign w:val="center"/>
          </w:tcPr>
          <w:p w:rsidR="009F2827" w:rsidRPr="00841FC6" w:rsidRDefault="00841FC6" w:rsidP="00841FC6">
            <w:pPr>
              <w:pBdr>
                <w:top w:val="nil"/>
                <w:left w:val="nil"/>
                <w:bottom w:val="nil"/>
                <w:right w:val="nil"/>
                <w:between w:val="nil"/>
              </w:pBdr>
              <w:spacing w:after="120" w:line="360" w:lineRule="auto"/>
              <w:jc w:val="right"/>
              <w:rPr>
                <w:color w:val="010000"/>
                <w:sz w:val="20"/>
                <w:szCs w:val="20"/>
                <w:rFonts w:ascii="Arial" w:eastAsia="Arial" w:hAnsi="Arial" w:cs="Arial"/>
              </w:rPr>
            </w:pPr>
            <w:r>
              <w:rPr>
                <w:color w:val="010000"/>
                <w:sz w:val="20"/>
                <w:rFonts w:ascii="Arial" w:hAnsi="Arial"/>
              </w:rPr>
              <w:t xml:space="preserve">28,000,000,000</w:t>
            </w:r>
          </w:p>
        </w:tc>
      </w:tr>
    </w:tbl>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Authorize the Board of Directors to proactively decide to adjust the business plan based on the actual business situation in 2024.</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6:</w:t>
      </w:r>
      <w:r>
        <w:rPr>
          <w:color w:val="010000"/>
          <w:sz w:val="20"/>
          <w:rFonts w:ascii="Arial" w:hAnsi="Arial"/>
        </w:rPr>
        <w:t xml:space="preserve"> </w:t>
      </w:r>
      <w:r>
        <w:rPr>
          <w:color w:val="010000"/>
          <w:sz w:val="20"/>
          <w:rFonts w:ascii="Arial" w:hAnsi="Arial"/>
        </w:rPr>
        <w:t xml:space="preserve">Approve the profit distribution of 2023 and the plan on profit distribution of 2024</w:t>
      </w:r>
    </w:p>
    <w:p w:rsidR="00841FC6" w:rsidRPr="00841FC6" w:rsidRDefault="00841FC6" w:rsidP="00841FC6">
      <w:pPr>
        <w:pStyle w:val="ListParagraph"/>
        <w:numPr>
          <w:ilvl w:val="0"/>
          <w:numId w:val="1"/>
        </w:numPr>
        <w:pBdr>
          <w:top w:val="nil"/>
          <w:left w:val="nil"/>
          <w:bottom w:val="nil"/>
          <w:right w:val="nil"/>
          <w:between w:val="nil"/>
        </w:pBdr>
        <w:spacing w:after="120" w:line="360" w:lineRule="auto"/>
        <w:ind w:left="0" w:firstLine="0"/>
        <w:contextualSpacing w:val="0"/>
        <w:rPr>
          <w:color w:val="010000"/>
          <w:sz w:val="20"/>
          <w:szCs w:val="20"/>
          <w:rFonts w:ascii="Arial" w:eastAsia="Arial" w:hAnsi="Arial" w:cs="Arial"/>
        </w:rPr>
      </w:pPr>
      <w:r>
        <w:rPr>
          <w:color w:val="010000"/>
          <w:sz w:val="20"/>
          <w:rFonts w:ascii="Arial" w:hAnsi="Arial"/>
        </w:rPr>
        <w:t xml:space="preserve">Profit distribution in 2023</w:t>
      </w:r>
    </w:p>
    <w:tbl>
      <w:tblPr>
        <w:tblW w:w="5000" w:type="pct"/>
        <w:tblCellMar>
          <w:left w:w="0" w:type="dxa"/>
          <w:right w:w="0" w:type="dxa"/>
        </w:tblCellMar>
        <w:tblLook w:val="0000" w:firstRow="0" w:lastRow="0" w:firstColumn="0" w:lastColumn="0" w:noHBand="0" w:noVBand="0"/>
      </w:tblPr>
      <w:tblGrid>
        <w:gridCol w:w="814"/>
        <w:gridCol w:w="730"/>
        <w:gridCol w:w="3775"/>
        <w:gridCol w:w="950"/>
        <w:gridCol w:w="2748"/>
      </w:tblGrid>
      <w:tr w:rsidR="00841FC6" w:rsidRPr="00841FC6" w:rsidTr="00841FC6">
        <w:tblPrEx>
          <w:tblCellMar>
            <w:top w:w="0" w:type="dxa"/>
            <w:left w:w="0" w:type="dxa"/>
            <w:bottom w:w="0" w:type="dxa"/>
            <w:right w:w="0" w:type="dxa"/>
          </w:tblCellMar>
        </w:tblPrEx>
        <w:tc>
          <w:tcPr>
            <w:tcW w:w="451" w:type="pct"/>
            <w:vMerge w:val="restart"/>
            <w:tcBorders>
              <w:top w:val="single" w:sz="4" w:space="0" w:color="auto"/>
              <w:left w:val="single" w:sz="4" w:space="0" w:color="auto"/>
              <w:bottom w:val="nil"/>
              <w:right w:val="nil"/>
            </w:tcBorders>
            <w:shd w:val="clear" w:color="auto" w:fill="auto"/>
            <w:vAlign w:val="center"/>
          </w:tcPr>
          <w:p w:rsidR="00841FC6" w:rsidRPr="00841FC6" w:rsidRDefault="00841FC6" w:rsidP="00841FC6">
            <w:pPr>
              <w:pStyle w:val="ListParagraph"/>
              <w:widowControl/>
              <w:spacing w:after="120" w:line="360" w:lineRule="auto"/>
              <w:ind w:left="0"/>
              <w:contextualSpacing w:val="0"/>
              <w:rPr>
                <w:color w:val="auto"/>
                <w:sz w:val="20"/>
                <w:rFonts w:ascii="Arial" w:eastAsia="Times New Roman" w:hAnsi="Arial" w:cs="Arial"/>
              </w:rPr>
            </w:pPr>
            <w:r>
              <w:rPr>
                <w:sz w:val="20"/>
                <w:rFonts w:ascii="Arial" w:hAnsi="Arial"/>
              </w:rPr>
              <w:t xml:space="preserve">No.</w:t>
            </w:r>
          </w:p>
        </w:tc>
        <w:tc>
          <w:tcPr>
            <w:tcW w:w="405" w:type="pct"/>
            <w:vMerge w:val="restart"/>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rFonts w:ascii="Arial" w:eastAsia="Times New Roman" w:hAnsi="Arial" w:cs="Arial"/>
                <w:color w:val="auto"/>
                <w:sz w:val="20"/>
                <w:szCs w:val="10"/>
              </w:rPr>
            </w:pPr>
          </w:p>
        </w:tc>
        <w:tc>
          <w:tcPr>
            <w:tcW w:w="2093" w:type="pct"/>
            <w:vMerge w:val="restart"/>
            <w:tcBorders>
              <w:top w:val="single" w:sz="4" w:space="0" w:color="auto"/>
              <w:left w:val="nil"/>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Content</w:t>
            </w:r>
          </w:p>
        </w:tc>
        <w:tc>
          <w:tcPr>
            <w:tcW w:w="2051" w:type="pct"/>
            <w:gridSpan w:val="2"/>
            <w:tcBorders>
              <w:top w:val="single" w:sz="4" w:space="0" w:color="auto"/>
              <w:left w:val="single" w:sz="4" w:space="0" w:color="auto"/>
              <w:bottom w:val="nil"/>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Profit distribution in 2023</w:t>
            </w:r>
          </w:p>
        </w:tc>
      </w:tr>
      <w:tr w:rsidR="00841FC6" w:rsidRPr="00841FC6" w:rsidTr="00841FC6">
        <w:tblPrEx>
          <w:tblCellMar>
            <w:top w:w="0" w:type="dxa"/>
            <w:left w:w="0" w:type="dxa"/>
            <w:bottom w:w="0" w:type="dxa"/>
            <w:right w:w="0" w:type="dxa"/>
          </w:tblCellMar>
        </w:tblPrEx>
        <w:tc>
          <w:tcPr>
            <w:tcW w:w="451" w:type="pct"/>
            <w:vMerge/>
            <w:tcBorders>
              <w:top w:val="nil"/>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rFonts w:ascii="Arial" w:eastAsia="Times New Roman" w:hAnsi="Arial" w:cs="Arial"/>
                <w:color w:val="auto"/>
                <w:sz w:val="20"/>
              </w:rPr>
            </w:pPr>
          </w:p>
        </w:tc>
        <w:tc>
          <w:tcPr>
            <w:tcW w:w="405" w:type="pct"/>
            <w:vMerge/>
            <w:tcBorders>
              <w:top w:val="nil"/>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rFonts w:ascii="Arial" w:eastAsia="Times New Roman" w:hAnsi="Arial" w:cs="Arial"/>
                <w:color w:val="auto"/>
                <w:sz w:val="20"/>
              </w:rPr>
            </w:pPr>
          </w:p>
        </w:tc>
        <w:tc>
          <w:tcPr>
            <w:tcW w:w="2093" w:type="pct"/>
            <w:vMerge/>
            <w:tcBorders>
              <w:top w:val="nil"/>
              <w:left w:val="nil"/>
              <w:bottom w:val="nil"/>
              <w:right w:val="nil"/>
            </w:tcBorders>
            <w:shd w:val="clear" w:color="auto" w:fill="auto"/>
            <w:vAlign w:val="center"/>
          </w:tcPr>
          <w:p w:rsidR="00841FC6" w:rsidRPr="00841FC6" w:rsidRDefault="00841FC6" w:rsidP="00841FC6">
            <w:pPr>
              <w:widowControl/>
              <w:spacing w:after="120" w:line="360" w:lineRule="auto"/>
              <w:rPr>
                <w:rFonts w:ascii="Arial" w:eastAsia="Times New Roman" w:hAnsi="Arial" w:cs="Arial"/>
                <w:color w:val="auto"/>
                <w:sz w:val="20"/>
              </w:rPr>
            </w:pPr>
          </w:p>
        </w:tc>
        <w:tc>
          <w:tcPr>
            <w:tcW w:w="527" w:type="pct"/>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Rate</w:t>
            </w:r>
          </w:p>
        </w:tc>
        <w:tc>
          <w:tcPr>
            <w:tcW w:w="1523" w:type="pct"/>
            <w:tcBorders>
              <w:top w:val="single" w:sz="4" w:space="0" w:color="auto"/>
              <w:left w:val="single" w:sz="4" w:space="0" w:color="auto"/>
              <w:bottom w:val="nil"/>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Amount (VND)</w:t>
            </w:r>
          </w:p>
        </w:tc>
      </w:tr>
      <w:tr w:rsidR="00841FC6" w:rsidRPr="00841FC6" w:rsidTr="00841FC6">
        <w:tblPrEx>
          <w:tblCellMar>
            <w:top w:w="0" w:type="dxa"/>
            <w:left w:w="0" w:type="dxa"/>
            <w:bottom w:w="0" w:type="dxa"/>
            <w:right w:w="0" w:type="dxa"/>
          </w:tblCellMar>
        </w:tblPrEx>
        <w:tc>
          <w:tcPr>
            <w:tcW w:w="451" w:type="pct"/>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1</w:t>
            </w:r>
          </w:p>
        </w:tc>
        <w:tc>
          <w:tcPr>
            <w:tcW w:w="2498" w:type="pct"/>
            <w:gridSpan w:val="2"/>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Undistributed profit after tax:</w:t>
            </w:r>
          </w:p>
        </w:tc>
        <w:tc>
          <w:tcPr>
            <w:tcW w:w="527" w:type="pct"/>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rFonts w:ascii="Arial" w:eastAsia="Times New Roman" w:hAnsi="Arial" w:cs="Arial"/>
                <w:color w:val="auto"/>
                <w:sz w:val="20"/>
                <w:szCs w:val="10"/>
              </w:rPr>
            </w:pPr>
          </w:p>
        </w:tc>
        <w:tc>
          <w:tcPr>
            <w:tcW w:w="1523" w:type="pct"/>
            <w:tcBorders>
              <w:top w:val="single" w:sz="4" w:space="0" w:color="auto"/>
              <w:left w:val="single" w:sz="4" w:space="0" w:color="auto"/>
              <w:bottom w:val="nil"/>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17,271,947,190</w:t>
            </w:r>
          </w:p>
        </w:tc>
      </w:tr>
      <w:tr w:rsidR="00841FC6" w:rsidRPr="00841FC6" w:rsidTr="00841FC6">
        <w:tblPrEx>
          <w:tblCellMar>
            <w:top w:w="0" w:type="dxa"/>
            <w:left w:w="0" w:type="dxa"/>
            <w:bottom w:w="0" w:type="dxa"/>
            <w:right w:w="0" w:type="dxa"/>
          </w:tblCellMar>
        </w:tblPrEx>
        <w:tc>
          <w:tcPr>
            <w:tcW w:w="451" w:type="pct"/>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2</w:t>
            </w:r>
          </w:p>
        </w:tc>
        <w:tc>
          <w:tcPr>
            <w:tcW w:w="2498" w:type="pct"/>
            <w:gridSpan w:val="2"/>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Expected profit distribution:</w:t>
            </w:r>
          </w:p>
        </w:tc>
        <w:tc>
          <w:tcPr>
            <w:tcW w:w="527" w:type="pct"/>
            <w:tcBorders>
              <w:top w:val="single" w:sz="4" w:space="0" w:color="auto"/>
              <w:left w:val="single" w:sz="4" w:space="0" w:color="auto"/>
              <w:bottom w:val="nil"/>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0%</w:t>
            </w:r>
          </w:p>
        </w:tc>
        <w:tc>
          <w:tcPr>
            <w:tcW w:w="1523" w:type="pct"/>
            <w:tcBorders>
              <w:top w:val="single" w:sz="4" w:space="0" w:color="auto"/>
              <w:left w:val="single" w:sz="4" w:space="0" w:color="auto"/>
              <w:bottom w:val="nil"/>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0</w:t>
            </w:r>
          </w:p>
        </w:tc>
      </w:tr>
      <w:tr w:rsidR="00841FC6" w:rsidRPr="00841FC6" w:rsidTr="00841FC6">
        <w:tblPrEx>
          <w:tblCellMar>
            <w:top w:w="0" w:type="dxa"/>
            <w:left w:w="0" w:type="dxa"/>
            <w:bottom w:w="0" w:type="dxa"/>
            <w:right w:w="0" w:type="dxa"/>
          </w:tblCellMar>
        </w:tblPrEx>
        <w:tc>
          <w:tcPr>
            <w:tcW w:w="451"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3</w:t>
            </w:r>
          </w:p>
        </w:tc>
        <w:tc>
          <w:tcPr>
            <w:tcW w:w="2498" w:type="pct"/>
            <w:gridSpan w:val="2"/>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Remaining profit after distribution</w:t>
            </w:r>
          </w:p>
        </w:tc>
        <w:tc>
          <w:tcPr>
            <w:tcW w:w="527" w:type="pct"/>
            <w:tcBorders>
              <w:top w:val="single" w:sz="4" w:space="0" w:color="auto"/>
              <w:left w:val="single" w:sz="4" w:space="0" w:color="auto"/>
              <w:bottom w:val="single" w:sz="4" w:space="0" w:color="auto"/>
              <w:right w:val="nil"/>
            </w:tcBorders>
            <w:shd w:val="clear" w:color="auto" w:fill="auto"/>
            <w:vAlign w:val="center"/>
          </w:tcPr>
          <w:p w:rsidR="00841FC6" w:rsidRPr="00841FC6" w:rsidRDefault="00841FC6" w:rsidP="00841FC6">
            <w:pPr>
              <w:widowControl/>
              <w:spacing w:after="120" w:line="360" w:lineRule="auto"/>
              <w:rPr>
                <w:rFonts w:ascii="Arial" w:eastAsia="Times New Roman" w:hAnsi="Arial" w:cs="Arial"/>
                <w:color w:val="auto"/>
                <w:sz w:val="20"/>
                <w:szCs w:val="10"/>
              </w:rPr>
            </w:pPr>
          </w:p>
        </w:tc>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17,271,947,190</w:t>
            </w:r>
          </w:p>
        </w:tc>
      </w:tr>
    </w:tbl>
    <w:p w:rsidR="00841FC6" w:rsidRPr="00841FC6" w:rsidRDefault="00841FC6" w:rsidP="00841FC6">
      <w:pPr>
        <w:pStyle w:val="ListParagraph"/>
        <w:widowControl/>
        <w:numPr>
          <w:ilvl w:val="0"/>
          <w:numId w:val="1"/>
        </w:numPr>
        <w:spacing w:after="120" w:line="360" w:lineRule="auto"/>
        <w:ind w:left="0" w:firstLine="0"/>
        <w:contextualSpacing w:val="0"/>
        <w:rPr>
          <w:color w:val="auto"/>
          <w:sz w:val="20"/>
          <w:rFonts w:ascii="Arial" w:eastAsia="Times New Roman" w:hAnsi="Arial" w:cs="Arial"/>
        </w:rPr>
      </w:pPr>
      <w:r>
        <w:rPr>
          <w:sz w:val="20"/>
          <w:rFonts w:ascii="Arial" w:hAnsi="Arial"/>
        </w:rPr>
        <w:t xml:space="preserve">Profit distribution plan for 2024;</w:t>
      </w:r>
    </w:p>
    <w:p w:rsidR="00841FC6" w:rsidRPr="00841FC6" w:rsidRDefault="00841FC6" w:rsidP="00841FC6">
      <w:pPr>
        <w:widowControl/>
        <w:spacing w:after="120" w:line="360" w:lineRule="auto"/>
        <w:rPr>
          <w:color w:val="auto"/>
          <w:sz w:val="20"/>
          <w:rFonts w:ascii="Arial" w:eastAsia="Times New Roman" w:hAnsi="Arial" w:cs="Arial"/>
        </w:rPr>
      </w:pPr>
      <w:r>
        <w:rPr>
          <w:sz w:val="20"/>
          <w:rFonts w:ascii="Arial" w:hAnsi="Arial"/>
        </w:rPr>
        <w:t xml:space="preserve">Based on the implementation of the business plan 2024, the Board of Directors will submit to the General Meeting of Shareholders the plan to make appropriations to funds at the Annual General Meeting of Shareholders 2025.</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7:</w:t>
      </w:r>
      <w:r>
        <w:rPr>
          <w:color w:val="010000"/>
          <w:sz w:val="20"/>
          <w:rFonts w:ascii="Arial" w:hAnsi="Arial"/>
        </w:rPr>
        <w:t xml:space="preserve"> </w:t>
      </w:r>
      <w:r>
        <w:rPr>
          <w:color w:val="010000"/>
          <w:sz w:val="20"/>
          <w:rFonts w:ascii="Arial" w:hAnsi="Arial"/>
        </w:rPr>
        <w:t xml:space="preserve">Approve the selection of AASC Auditing Firm Co., Ltd. as the auditing company for the semi-annual reviewed Financial Statements and the annual Financial Statements 2024.</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8:</w:t>
      </w:r>
      <w:r>
        <w:rPr>
          <w:color w:val="010000"/>
          <w:sz w:val="20"/>
          <w:rFonts w:ascii="Arial" w:hAnsi="Arial"/>
        </w:rPr>
        <w:t xml:space="preserve"> </w:t>
      </w:r>
      <w:r>
        <w:rPr>
          <w:color w:val="010000"/>
          <w:sz w:val="20"/>
          <w:rFonts w:ascii="Arial" w:hAnsi="Arial"/>
        </w:rPr>
        <w:t xml:space="preserve">Approve the payment of remuneration to the Board of Directors in 2023 and the plan to pay remuneration to the Board of Directors in 2024.</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9:</w:t>
      </w:r>
      <w:r>
        <w:rPr>
          <w:color w:val="010000"/>
          <w:sz w:val="20"/>
          <w:rFonts w:ascii="Arial" w:hAnsi="Arial"/>
        </w:rPr>
        <w:t xml:space="preserve"> </w:t>
      </w:r>
      <w:r>
        <w:rPr>
          <w:color w:val="010000"/>
          <w:sz w:val="20"/>
          <w:rFonts w:ascii="Arial" w:hAnsi="Arial"/>
        </w:rPr>
        <w:t xml:space="preserve">Approve the non-payment of dividends for 2023.</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10:</w:t>
      </w:r>
      <w:r>
        <w:rPr>
          <w:color w:val="010000"/>
          <w:sz w:val="20"/>
          <w:rFonts w:ascii="Arial" w:hAnsi="Arial"/>
        </w:rPr>
        <w:t xml:space="preserve"> </w:t>
      </w:r>
      <w:r>
        <w:rPr>
          <w:color w:val="010000"/>
          <w:sz w:val="20"/>
          <w:rFonts w:ascii="Arial" w:hAnsi="Arial"/>
        </w:rPr>
        <w:t xml:space="preserve">Approve the transfer of registration for trading of shares of Vietnam Machine Investment Development Joint Stock Company - VVS on the UPCoM market to listing of shares on the Ho Chi Minh City Stock Exchange.</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r>
        <w:rPr>
          <w:color w:val="010000"/>
          <w:sz w:val="20"/>
          <w:rFonts w:ascii="Arial" w:hAnsi="Arial"/>
        </w:rPr>
        <w:t xml:space="preserve">Article 11:</w:t>
      </w:r>
      <w:r>
        <w:rPr>
          <w:color w:val="010000"/>
          <w:sz w:val="20"/>
          <w:rFonts w:ascii="Arial" w:hAnsi="Arial"/>
        </w:rPr>
        <w:t xml:space="preserve"> </w:t>
      </w:r>
      <w:r>
        <w:rPr>
          <w:color w:val="010000"/>
          <w:sz w:val="20"/>
          <w:rFonts w:ascii="Arial" w:hAnsi="Arial"/>
        </w:rPr>
        <w:t xml:space="preserve">Approve the non-distribution of profits in 2022.</w:t>
      </w:r>
    </w:p>
    <w:p w:rsidR="009F2827" w:rsidRPr="00841FC6" w:rsidRDefault="00841FC6" w:rsidP="00841FC6">
      <w:pPr>
        <w:pBdr>
          <w:top w:val="nil"/>
          <w:left w:val="nil"/>
          <w:bottom w:val="nil"/>
          <w:right w:val="nil"/>
          <w:between w:val="nil"/>
        </w:pBdr>
        <w:spacing w:after="120" w:line="360" w:lineRule="auto"/>
        <w:rPr>
          <w:color w:val="010000"/>
          <w:sz w:val="20"/>
          <w:szCs w:val="20"/>
          <w:rFonts w:ascii="Arial" w:eastAsia="Arial" w:hAnsi="Arial" w:cs="Arial"/>
        </w:rPr>
      </w:pPr>
      <w:bookmarkStart w:id="0" w:name="_heading=h.gjdgxs"/>
      <w:bookmarkEnd w:id="0"/>
      <w:r>
        <w:rPr>
          <w:color w:val="010000"/>
          <w:sz w:val="20"/>
          <w:rFonts w:ascii="Arial" w:hAnsi="Arial"/>
        </w:rPr>
        <w:t xml:space="preserve">Article 12:</w:t>
      </w:r>
      <w:r>
        <w:rPr>
          <w:color w:val="010000"/>
          <w:sz w:val="20"/>
          <w:rFonts w:ascii="Arial" w:hAnsi="Arial"/>
        </w:rPr>
        <w:t xml:space="preserve"> </w:t>
      </w:r>
      <w:r>
        <w:rPr>
          <w:color w:val="010000"/>
          <w:sz w:val="20"/>
          <w:rFonts w:ascii="Arial" w:hAnsi="Arial"/>
        </w:rPr>
        <w:t xml:space="preserve">This General Mandate takes effect from the date of signing.</w:t>
      </w:r>
      <w:r>
        <w:rPr>
          <w:color w:val="010000"/>
          <w:sz w:val="20"/>
          <w:rFonts w:ascii="Arial" w:hAnsi="Arial"/>
        </w:rPr>
        <w:t xml:space="preserve"> </w:t>
      </w:r>
      <w:r>
        <w:rPr>
          <w:color w:val="010000"/>
          <w:sz w:val="20"/>
          <w:rFonts w:ascii="Arial" w:hAnsi="Arial"/>
        </w:rPr>
        <w:t xml:space="preserve">Members of the Board of Directors, the Company's Manager, and heads of the Company's Departments/Divisions are responsible for implementing this General Mandate.</w:t>
      </w:r>
    </w:p>
    <w:sectPr w:rsidR="009F2827" w:rsidRPr="00841FC6" w:rsidSect="00841F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04569"/>
    <w:multiLevelType w:val="hybridMultilevel"/>
    <w:tmpl w:val="AC8E6668"/>
    <w:lvl w:ilvl="0" w:tplc="3696881A">
      <w:start w:val="1"/>
      <w:numFmt w:val="decimal"/>
      <w:lvlText w:val="%1."/>
      <w:lvlJc w:val="left"/>
      <w:pPr>
        <w:ind w:left="720" w:hanging="360"/>
      </w:pPr>
      <w:rPr>
        <w:rFonts w:hint="default"/>
        <w:b w:val="0"/>
        <w:i w:val="0"/>
        <w:sz w:val="20"/>
      </w:rPr>
    </w:lvl>
    <w:lvl w:ilvl="1" w:tplc="3342F42E" w:tentative="1">
      <w:start w:val="1"/>
      <w:numFmt w:val="lowerLetter"/>
      <w:lvlText w:val="%2."/>
      <w:lvlJc w:val="left"/>
      <w:pPr>
        <w:ind w:left="1440" w:hanging="360"/>
      </w:pPr>
      <w:rPr>
        <w:b w:val="0"/>
        <w:i w:val="0"/>
        <w:sz w:val="20"/>
      </w:rPr>
    </w:lvl>
    <w:lvl w:ilvl="2" w:tplc="42F62DF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27"/>
    <w:rsid w:val="00841FC6"/>
    <w:rsid w:val="009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D46CE"/>
  <w15:docId w15:val="{FF27EA93-1914-40E1-A5B6-6091A296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4252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242525"/>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42525"/>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42525"/>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9"/>
      <w:szCs w:val="19"/>
      <w:u w:val="singl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242525"/>
    </w:rPr>
  </w:style>
  <w:style w:type="paragraph" w:customStyle="1" w:styleId="Vnbnnidung20">
    <w:name w:val="Văn bản nội dung (2)"/>
    <w:basedOn w:val="Normal"/>
    <w:link w:val="Vnbnnidung2"/>
    <w:pPr>
      <w:ind w:left="6320"/>
    </w:pPr>
    <w:rPr>
      <w:rFonts w:ascii="Arial" w:eastAsia="Arial" w:hAnsi="Arial" w:cs="Arial"/>
      <w:sz w:val="13"/>
      <w:szCs w:val="13"/>
    </w:rPr>
  </w:style>
  <w:style w:type="paragraph" w:customStyle="1" w:styleId="Tiu10">
    <w:name w:val="Tiêu đề #1"/>
    <w:basedOn w:val="Normal"/>
    <w:link w:val="Tiu1"/>
    <w:pPr>
      <w:spacing w:line="202" w:lineRule="auto"/>
      <w:ind w:left="2060"/>
      <w:outlineLvl w:val="0"/>
    </w:pPr>
    <w:rPr>
      <w:rFonts w:ascii="Arial" w:eastAsia="Arial" w:hAnsi="Arial" w:cs="Arial"/>
      <w:color w:val="242525"/>
      <w:sz w:val="34"/>
      <w:szCs w:val="34"/>
    </w:rPr>
  </w:style>
  <w:style w:type="paragraph" w:customStyle="1" w:styleId="Tiu20">
    <w:name w:val="Tiêu đề #2"/>
    <w:basedOn w:val="Normal"/>
    <w:link w:val="Tiu2"/>
    <w:pPr>
      <w:spacing w:line="235" w:lineRule="auto"/>
      <w:ind w:left="1030" w:hanging="340"/>
      <w:outlineLvl w:val="1"/>
    </w:pPr>
    <w:rPr>
      <w:rFonts w:ascii="Times New Roman" w:eastAsia="Times New Roman" w:hAnsi="Times New Roman" w:cs="Times New Roman"/>
      <w:b/>
      <w:bCs/>
      <w:sz w:val="30"/>
      <w:szCs w:val="30"/>
      <w:shd w:val="clear" w:color="auto" w:fill="FFFFFF"/>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color w:val="242525"/>
    </w:rPr>
  </w:style>
  <w:style w:type="paragraph" w:customStyle="1" w:styleId="Khc0">
    <w:name w:val="Khác"/>
    <w:basedOn w:val="Normal"/>
    <w:link w:val="Khc"/>
    <w:pPr>
      <w:spacing w:line="276" w:lineRule="auto"/>
    </w:pPr>
    <w:rPr>
      <w:rFonts w:ascii="Times New Roman" w:eastAsia="Times New Roman" w:hAnsi="Times New Roman" w:cs="Times New Roman"/>
      <w:color w:val="242525"/>
    </w:rPr>
  </w:style>
  <w:style w:type="paragraph" w:customStyle="1" w:styleId="Vnbnnidung30">
    <w:name w:val="Văn bản nội dung (3)"/>
    <w:basedOn w:val="Normal"/>
    <w:link w:val="Vnbnnidung3"/>
    <w:rPr>
      <w:rFonts w:ascii="Arial" w:eastAsia="Arial" w:hAnsi="Arial" w:cs="Arial"/>
      <w:i/>
      <w:iCs/>
      <w:sz w:val="19"/>
      <w:szCs w:val="19"/>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4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5gyNl/pAc9nJGMfEqF45idMIJA==">CgMxLjAyCGguZ2pkZ3hzOAByITFYbmd4SlFmbUZpZDFJRGU3S3laeXR6MVlWd2pOWUxzYQ==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2020</Characters>
  <Application>Microsoft Office Word</Application>
  <DocSecurity>0</DocSecurity>
  <Lines>88</Lines>
  <Paragraphs>71</Paragraphs>
  <ScaleCrop>false</ScaleCrop>
  <Company>Microsoft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2024-04-24T02:25:00Z</dcterms:created>
  <dcterms:modified xsi:type="dcterms:W3CDTF">2024-04-24T07:12:00Z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026c5e732f082dbabc648e6357626f6c6bcdf55a7dbd47793bc68cd873180288</vt:lpwstr>
  </property>
</Properties>
</file>