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E38B" w14:textId="798674DE" w:rsidR="00F54CC4" w:rsidRPr="00B63034" w:rsidRDefault="00657CC2" w:rsidP="00F430AB">
      <w:pPr>
        <w:pBdr>
          <w:top w:val="nil"/>
          <w:left w:val="nil"/>
          <w:bottom w:val="nil"/>
          <w:right w:val="nil"/>
          <w:between w:val="nil"/>
        </w:pBdr>
        <w:spacing w:after="120" w:line="360" w:lineRule="auto"/>
        <w:rPr>
          <w:rFonts w:ascii="Arial" w:eastAsia="Arial" w:hAnsi="Arial" w:cs="Arial"/>
          <w:b/>
          <w:bCs/>
          <w:sz w:val="20"/>
          <w:szCs w:val="20"/>
        </w:rPr>
      </w:pPr>
      <w:r w:rsidRPr="00B63034">
        <w:rPr>
          <w:rFonts w:ascii="Arial" w:hAnsi="Arial" w:cs="Arial"/>
          <w:b/>
          <w:bCs/>
          <w:sz w:val="20"/>
        </w:rPr>
        <w:t>DM7:</w:t>
      </w:r>
      <w:r w:rsidRPr="00B63034">
        <w:rPr>
          <w:rFonts w:ascii="Arial" w:hAnsi="Arial" w:cs="Arial"/>
          <w:b/>
          <w:sz w:val="20"/>
        </w:rPr>
        <w:t xml:space="preserve"> Annual General Mandate 2024</w:t>
      </w:r>
    </w:p>
    <w:p w14:paraId="60183B83" w14:textId="0A787D31"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On April 19, 2024, Det May 7 Joint Stock Company announced</w:t>
      </w:r>
      <w:r w:rsidR="000A60F8" w:rsidRPr="00B63034">
        <w:rPr>
          <w:rFonts w:ascii="Arial" w:hAnsi="Arial" w:cs="Arial"/>
          <w:sz w:val="20"/>
        </w:rPr>
        <w:t xml:space="preserve"> General</w:t>
      </w:r>
      <w:r w:rsidRPr="00B63034">
        <w:rPr>
          <w:rFonts w:ascii="Arial" w:hAnsi="Arial" w:cs="Arial"/>
          <w:sz w:val="20"/>
        </w:rPr>
        <w:t xml:space="preserve"> Mandate No. 99/NQ-DHDCD as follows:</w:t>
      </w:r>
    </w:p>
    <w:p w14:paraId="1CAFFFA3"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‎‎Article 1. Unanimously approve the production and business results 2023 report and production and business plan 2024 of the Company's Board of Directors with a number of main indicators as follows:</w:t>
      </w:r>
    </w:p>
    <w:p w14:paraId="26EECB09" w14:textId="172865FD" w:rsidR="00F54CC4" w:rsidRPr="00B63034" w:rsidRDefault="00CC563C" w:rsidP="00F430AB">
      <w:pPr>
        <w:keepNext/>
        <w:numPr>
          <w:ilvl w:val="0"/>
          <w:numId w:val="1"/>
        </w:numPr>
        <w:pBdr>
          <w:top w:val="nil"/>
          <w:left w:val="nil"/>
          <w:bottom w:val="nil"/>
          <w:right w:val="nil"/>
          <w:between w:val="nil"/>
        </w:pBdr>
        <w:tabs>
          <w:tab w:val="left" w:pos="180"/>
        </w:tabs>
        <w:spacing w:after="120" w:line="360" w:lineRule="auto"/>
        <w:ind w:left="0" w:firstLine="0"/>
        <w:rPr>
          <w:rFonts w:ascii="Arial" w:eastAsia="Arial" w:hAnsi="Arial" w:cs="Arial"/>
          <w:sz w:val="20"/>
          <w:szCs w:val="20"/>
        </w:rPr>
      </w:pPr>
      <w:r w:rsidRPr="00B63034">
        <w:rPr>
          <w:rFonts w:ascii="Arial" w:hAnsi="Arial" w:cs="Arial"/>
          <w:sz w:val="20"/>
        </w:rPr>
        <w:t xml:space="preserve"> Approving the results of production and business activities in 2023:</w:t>
      </w:r>
    </w:p>
    <w:p w14:paraId="31EFE24D" w14:textId="439F29AB"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 xml:space="preserve">Total revenue: VND 685.001 </w:t>
      </w:r>
      <w:r w:rsidR="000A60F8" w:rsidRPr="00B63034">
        <w:rPr>
          <w:rFonts w:ascii="Arial" w:hAnsi="Arial" w:cs="Arial"/>
          <w:sz w:val="20"/>
        </w:rPr>
        <w:t>b</w:t>
      </w:r>
      <w:r w:rsidRPr="00B63034">
        <w:rPr>
          <w:rFonts w:ascii="Arial" w:hAnsi="Arial" w:cs="Arial"/>
          <w:sz w:val="20"/>
        </w:rPr>
        <w:t>illion reaching 98% compared to the plan</w:t>
      </w:r>
    </w:p>
    <w:p w14:paraId="5AC96921" w14:textId="290EC80D"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 xml:space="preserve">Profit before tax: VND 69.208 </w:t>
      </w:r>
      <w:r w:rsidR="000A60F8" w:rsidRPr="00B63034">
        <w:rPr>
          <w:rFonts w:ascii="Arial" w:hAnsi="Arial" w:cs="Arial"/>
          <w:sz w:val="20"/>
        </w:rPr>
        <w:t>billion</w:t>
      </w:r>
      <w:r w:rsidRPr="00B63034">
        <w:rPr>
          <w:rFonts w:ascii="Arial" w:hAnsi="Arial" w:cs="Arial"/>
          <w:sz w:val="20"/>
        </w:rPr>
        <w:t xml:space="preserve"> reaching 101% compared to the plan</w:t>
      </w:r>
    </w:p>
    <w:p w14:paraId="7BD309ED" w14:textId="7D7E2778"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 xml:space="preserve">Profit after tax: VND 54.915 </w:t>
      </w:r>
      <w:r w:rsidR="000A60F8" w:rsidRPr="00B63034">
        <w:rPr>
          <w:rFonts w:ascii="Arial" w:hAnsi="Arial" w:cs="Arial"/>
          <w:sz w:val="20"/>
        </w:rPr>
        <w:t>billion</w:t>
      </w:r>
      <w:r w:rsidRPr="00B63034">
        <w:rPr>
          <w:rFonts w:ascii="Arial" w:hAnsi="Arial" w:cs="Arial"/>
          <w:sz w:val="20"/>
        </w:rPr>
        <w:t xml:space="preserve"> reaching 100% compared to the plan</w:t>
      </w:r>
    </w:p>
    <w:p w14:paraId="6A30BB5C" w14:textId="77777777"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Dividend payment: 17.11%/share reaching 101% compared to the plan</w:t>
      </w:r>
    </w:p>
    <w:p w14:paraId="6A90B8C6" w14:textId="642CF44C" w:rsidR="00F54CC4" w:rsidRPr="00B63034" w:rsidRDefault="00657CC2" w:rsidP="00F430AB">
      <w:pPr>
        <w:keepNext/>
        <w:numPr>
          <w:ilvl w:val="0"/>
          <w:numId w:val="1"/>
        </w:numPr>
        <w:pBdr>
          <w:top w:val="nil"/>
          <w:left w:val="nil"/>
          <w:bottom w:val="nil"/>
          <w:right w:val="nil"/>
          <w:between w:val="nil"/>
        </w:pBdr>
        <w:tabs>
          <w:tab w:val="left" w:pos="180"/>
        </w:tabs>
        <w:spacing w:after="120" w:line="360" w:lineRule="auto"/>
        <w:ind w:left="0" w:firstLine="0"/>
        <w:rPr>
          <w:rFonts w:ascii="Arial" w:eastAsia="Arial" w:hAnsi="Arial" w:cs="Arial"/>
          <w:sz w:val="20"/>
          <w:szCs w:val="20"/>
        </w:rPr>
      </w:pPr>
      <w:r w:rsidRPr="00B63034">
        <w:rPr>
          <w:rFonts w:ascii="Arial" w:hAnsi="Arial" w:cs="Arial"/>
          <w:sz w:val="20"/>
        </w:rPr>
        <w:t xml:space="preserve"> Results of production and business activities in 2023 after adjusting according to State Audit requirements to 2022</w:t>
      </w:r>
    </w:p>
    <w:p w14:paraId="4D0D638A" w14:textId="4F899442"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 xml:space="preserve">Total revenue: VND 622.930 </w:t>
      </w:r>
      <w:r w:rsidR="000A60F8" w:rsidRPr="00B63034">
        <w:rPr>
          <w:rFonts w:ascii="Arial" w:hAnsi="Arial" w:cs="Arial"/>
          <w:sz w:val="20"/>
        </w:rPr>
        <w:t>billion</w:t>
      </w:r>
      <w:r w:rsidRPr="00B63034">
        <w:rPr>
          <w:rFonts w:ascii="Arial" w:hAnsi="Arial" w:cs="Arial"/>
          <w:sz w:val="20"/>
        </w:rPr>
        <w:t xml:space="preserve"> reaching 89% compared to the plan</w:t>
      </w:r>
    </w:p>
    <w:p w14:paraId="15B07648" w14:textId="42505169"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 xml:space="preserve">Profit before tax: VND 50.083 </w:t>
      </w:r>
      <w:r w:rsidR="000A60F8" w:rsidRPr="00B63034">
        <w:rPr>
          <w:rFonts w:ascii="Arial" w:hAnsi="Arial" w:cs="Arial"/>
          <w:sz w:val="20"/>
        </w:rPr>
        <w:t>billion</w:t>
      </w:r>
      <w:r w:rsidRPr="00B63034">
        <w:rPr>
          <w:rFonts w:ascii="Arial" w:hAnsi="Arial" w:cs="Arial"/>
          <w:sz w:val="20"/>
        </w:rPr>
        <w:t xml:space="preserve"> reaching 73% compared to the plan</w:t>
      </w:r>
    </w:p>
    <w:p w14:paraId="2DB67722" w14:textId="7E4A5252"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 xml:space="preserve">Profit after tax: VND 39.615 </w:t>
      </w:r>
      <w:r w:rsidR="000A60F8" w:rsidRPr="00B63034">
        <w:rPr>
          <w:rFonts w:ascii="Arial" w:hAnsi="Arial" w:cs="Arial"/>
          <w:sz w:val="20"/>
        </w:rPr>
        <w:t>billion</w:t>
      </w:r>
      <w:r w:rsidRPr="00B63034">
        <w:rPr>
          <w:rFonts w:ascii="Arial" w:hAnsi="Arial" w:cs="Arial"/>
          <w:sz w:val="20"/>
        </w:rPr>
        <w:t xml:space="preserve"> reaching 72% compared to the plan</w:t>
      </w:r>
    </w:p>
    <w:p w14:paraId="4C05180F" w14:textId="77777777" w:rsidR="00F54CC4" w:rsidRPr="00B63034" w:rsidRDefault="00657CC2" w:rsidP="00F430AB">
      <w:pPr>
        <w:numPr>
          <w:ilvl w:val="0"/>
          <w:numId w:val="2"/>
        </w:numPr>
        <w:pBdr>
          <w:top w:val="nil"/>
          <w:left w:val="nil"/>
          <w:bottom w:val="nil"/>
          <w:right w:val="nil"/>
          <w:between w:val="nil"/>
        </w:pBdr>
        <w:tabs>
          <w:tab w:val="left" w:pos="270"/>
          <w:tab w:val="left" w:pos="2250"/>
        </w:tabs>
        <w:spacing w:after="120" w:line="360" w:lineRule="auto"/>
        <w:rPr>
          <w:rFonts w:ascii="Arial" w:eastAsia="Arial" w:hAnsi="Arial" w:cs="Arial"/>
          <w:sz w:val="20"/>
          <w:szCs w:val="20"/>
        </w:rPr>
      </w:pPr>
      <w:r w:rsidRPr="00B63034">
        <w:rPr>
          <w:rFonts w:ascii="Arial" w:hAnsi="Arial" w:cs="Arial"/>
          <w:sz w:val="20"/>
        </w:rPr>
        <w:t>Dividend payment: 12.36%/share reaching 73% compared to the plan</w:t>
      </w:r>
    </w:p>
    <w:p w14:paraId="7A78E6F0" w14:textId="6890F166" w:rsidR="00F54CC4" w:rsidRPr="00B63034" w:rsidRDefault="00657CC2" w:rsidP="00F430AB">
      <w:pPr>
        <w:pStyle w:val="ListParagraph"/>
        <w:keepNext/>
        <w:numPr>
          <w:ilvl w:val="0"/>
          <w:numId w:val="1"/>
        </w:numPr>
        <w:pBdr>
          <w:top w:val="nil"/>
          <w:left w:val="nil"/>
          <w:bottom w:val="nil"/>
          <w:right w:val="nil"/>
          <w:between w:val="nil"/>
        </w:pBdr>
        <w:tabs>
          <w:tab w:val="left" w:pos="270"/>
        </w:tabs>
        <w:spacing w:after="120" w:line="360" w:lineRule="auto"/>
        <w:ind w:left="0" w:firstLine="0"/>
        <w:contextualSpacing w:val="0"/>
        <w:rPr>
          <w:rFonts w:ascii="Arial" w:eastAsia="Arial" w:hAnsi="Arial" w:cs="Arial"/>
          <w:sz w:val="20"/>
          <w:szCs w:val="20"/>
        </w:rPr>
      </w:pPr>
      <w:r w:rsidRPr="00B63034">
        <w:rPr>
          <w:rFonts w:ascii="Arial" w:hAnsi="Arial" w:cs="Arial"/>
          <w:sz w:val="20"/>
        </w:rPr>
        <w:t>Results of capital construction investment in 2023</w:t>
      </w:r>
    </w:p>
    <w:p w14:paraId="0B40902F" w14:textId="34076377" w:rsidR="00F54CC4" w:rsidRPr="00B63034" w:rsidRDefault="00657CC2" w:rsidP="00F430AB">
      <w:pPr>
        <w:pBdr>
          <w:top w:val="nil"/>
          <w:left w:val="nil"/>
          <w:bottom w:val="nil"/>
          <w:right w:val="nil"/>
          <w:between w:val="nil"/>
        </w:pBdr>
        <w:tabs>
          <w:tab w:val="left" w:pos="2297"/>
          <w:tab w:val="left" w:pos="5495"/>
        </w:tabs>
        <w:spacing w:after="120" w:line="360" w:lineRule="auto"/>
        <w:rPr>
          <w:rFonts w:ascii="Arial" w:eastAsia="Arial" w:hAnsi="Arial" w:cs="Arial"/>
          <w:sz w:val="20"/>
          <w:szCs w:val="20"/>
        </w:rPr>
      </w:pPr>
      <w:r w:rsidRPr="00B63034">
        <w:rPr>
          <w:rFonts w:ascii="Arial" w:hAnsi="Arial" w:cs="Arial"/>
          <w:sz w:val="20"/>
        </w:rPr>
        <w:t xml:space="preserve">In 2023, the Company has implemented a planning plan, rearranged the factory, relocated and invested in machinery and equipment for the </w:t>
      </w:r>
      <w:proofErr w:type="spellStart"/>
      <w:r w:rsidRPr="00B63034">
        <w:rPr>
          <w:rFonts w:ascii="Arial" w:hAnsi="Arial" w:cs="Arial"/>
          <w:sz w:val="20"/>
        </w:rPr>
        <w:t>Nhuom</w:t>
      </w:r>
      <w:proofErr w:type="spellEnd"/>
      <w:r w:rsidRPr="00B63034">
        <w:rPr>
          <w:rFonts w:ascii="Arial" w:hAnsi="Arial" w:cs="Arial"/>
          <w:sz w:val="20"/>
        </w:rPr>
        <w:t xml:space="preserve"> Factory, handing over the site to the T3 project in accordance with regulations with</w:t>
      </w:r>
      <w:r w:rsidR="00F430AB" w:rsidRPr="00B63034">
        <w:rPr>
          <w:rFonts w:ascii="Arial" w:hAnsi="Arial" w:cs="Arial"/>
          <w:sz w:val="20"/>
        </w:rPr>
        <w:t xml:space="preserve"> </w:t>
      </w:r>
      <w:r w:rsidRPr="00B63034">
        <w:rPr>
          <w:rFonts w:ascii="Arial" w:hAnsi="Arial" w:cs="Arial"/>
          <w:sz w:val="20"/>
        </w:rPr>
        <w:t>relocation and repair of machinery, equipment and factories value of VND 31,347 billion.</w:t>
      </w:r>
    </w:p>
    <w:p w14:paraId="46E80C74" w14:textId="4F33BE70" w:rsidR="00F54CC4" w:rsidRPr="00B63034" w:rsidRDefault="00657CC2" w:rsidP="00F430AB">
      <w:pPr>
        <w:pStyle w:val="ListParagraph"/>
        <w:keepNext/>
        <w:numPr>
          <w:ilvl w:val="0"/>
          <w:numId w:val="1"/>
        </w:numPr>
        <w:pBdr>
          <w:top w:val="nil"/>
          <w:left w:val="nil"/>
          <w:bottom w:val="nil"/>
          <w:right w:val="nil"/>
          <w:between w:val="nil"/>
        </w:pBdr>
        <w:tabs>
          <w:tab w:val="left" w:pos="270"/>
        </w:tabs>
        <w:spacing w:after="120" w:line="360" w:lineRule="auto"/>
        <w:ind w:left="0" w:firstLine="0"/>
        <w:contextualSpacing w:val="0"/>
        <w:rPr>
          <w:rFonts w:ascii="Arial" w:eastAsia="Arial" w:hAnsi="Arial" w:cs="Arial"/>
          <w:sz w:val="20"/>
          <w:szCs w:val="20"/>
        </w:rPr>
      </w:pPr>
      <w:r w:rsidRPr="00B63034">
        <w:rPr>
          <w:rFonts w:ascii="Arial" w:hAnsi="Arial" w:cs="Arial"/>
          <w:sz w:val="20"/>
        </w:rPr>
        <w:t>Plan to implement production and business tasks in 2024</w:t>
      </w:r>
    </w:p>
    <w:p w14:paraId="4F328C84" w14:textId="77777777" w:rsidR="00F54CC4" w:rsidRPr="00B63034" w:rsidRDefault="00657CC2" w:rsidP="00F430AB">
      <w:pPr>
        <w:pBdr>
          <w:top w:val="nil"/>
          <w:left w:val="nil"/>
          <w:bottom w:val="nil"/>
          <w:right w:val="nil"/>
          <w:between w:val="nil"/>
        </w:pBdr>
        <w:spacing w:after="120" w:line="360" w:lineRule="auto"/>
        <w:jc w:val="right"/>
        <w:rPr>
          <w:rFonts w:ascii="Arial" w:eastAsia="Arial" w:hAnsi="Arial" w:cs="Arial"/>
          <w:sz w:val="20"/>
          <w:szCs w:val="20"/>
        </w:rPr>
      </w:pPr>
      <w:r w:rsidRPr="00B63034">
        <w:rPr>
          <w:rFonts w:ascii="Arial" w:hAnsi="Arial" w:cs="Arial"/>
          <w:sz w:val="20"/>
        </w:rPr>
        <w:t>Unit: Million VND</w:t>
      </w:r>
    </w:p>
    <w:tbl>
      <w:tblPr>
        <w:tblStyle w:val="a"/>
        <w:tblW w:w="5000" w:type="pct"/>
        <w:jc w:val="right"/>
        <w:tblLook w:val="0400" w:firstRow="0" w:lastRow="0" w:firstColumn="0" w:lastColumn="0" w:noHBand="0" w:noVBand="1"/>
      </w:tblPr>
      <w:tblGrid>
        <w:gridCol w:w="814"/>
        <w:gridCol w:w="1970"/>
        <w:gridCol w:w="1622"/>
        <w:gridCol w:w="2159"/>
        <w:gridCol w:w="2445"/>
      </w:tblGrid>
      <w:tr w:rsidR="00F54CC4" w:rsidRPr="00B63034" w14:paraId="6D45B7DD" w14:textId="77777777" w:rsidTr="00F90566">
        <w:trPr>
          <w:jc w:val="right"/>
        </w:trPr>
        <w:tc>
          <w:tcPr>
            <w:tcW w:w="452" w:type="pct"/>
            <w:vMerge w:val="restart"/>
            <w:tcBorders>
              <w:top w:val="single" w:sz="4" w:space="0" w:color="000000"/>
              <w:left w:val="single" w:sz="4" w:space="0" w:color="000000"/>
            </w:tcBorders>
            <w:shd w:val="clear" w:color="auto" w:fill="auto"/>
            <w:tcMar>
              <w:top w:w="0" w:type="dxa"/>
              <w:bottom w:w="0" w:type="dxa"/>
            </w:tcMar>
            <w:vAlign w:val="center"/>
          </w:tcPr>
          <w:p w14:paraId="61457DA4"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No.</w:t>
            </w:r>
          </w:p>
        </w:tc>
        <w:tc>
          <w:tcPr>
            <w:tcW w:w="1093" w:type="pct"/>
            <w:vMerge w:val="restart"/>
            <w:tcBorders>
              <w:top w:val="single" w:sz="4" w:space="0" w:color="000000"/>
              <w:left w:val="single" w:sz="4" w:space="0" w:color="000000"/>
            </w:tcBorders>
            <w:shd w:val="clear" w:color="auto" w:fill="auto"/>
            <w:tcMar>
              <w:top w:w="0" w:type="dxa"/>
              <w:bottom w:w="0" w:type="dxa"/>
            </w:tcMar>
            <w:vAlign w:val="center"/>
          </w:tcPr>
          <w:p w14:paraId="41F1E6AD"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Target</w:t>
            </w:r>
          </w:p>
        </w:tc>
        <w:tc>
          <w:tcPr>
            <w:tcW w:w="900" w:type="pct"/>
            <w:vMerge w:val="restart"/>
            <w:tcBorders>
              <w:top w:val="single" w:sz="4" w:space="0" w:color="000000"/>
              <w:left w:val="single" w:sz="4" w:space="0" w:color="000000"/>
            </w:tcBorders>
            <w:shd w:val="clear" w:color="auto" w:fill="auto"/>
            <w:tcMar>
              <w:top w:w="0" w:type="dxa"/>
              <w:bottom w:w="0" w:type="dxa"/>
            </w:tcMar>
            <w:vAlign w:val="center"/>
          </w:tcPr>
          <w:p w14:paraId="3287A829" w14:textId="136BC365"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Plan in 2024</w:t>
            </w:r>
          </w:p>
        </w:tc>
        <w:tc>
          <w:tcPr>
            <w:tcW w:w="255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4AFFD8" w14:textId="46A31B46"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Rate compared to</w:t>
            </w:r>
            <w:r w:rsidR="000A60F8" w:rsidRPr="00B63034">
              <w:rPr>
                <w:rFonts w:ascii="Arial" w:hAnsi="Arial" w:cs="Arial"/>
                <w:sz w:val="20"/>
              </w:rPr>
              <w:t xml:space="preserve"> that of </w:t>
            </w:r>
            <w:r w:rsidRPr="00B63034">
              <w:rPr>
                <w:rFonts w:ascii="Arial" w:hAnsi="Arial" w:cs="Arial"/>
                <w:sz w:val="20"/>
              </w:rPr>
              <w:t>results</w:t>
            </w:r>
            <w:r w:rsidR="000A60F8" w:rsidRPr="00B63034">
              <w:rPr>
                <w:rFonts w:ascii="Arial" w:hAnsi="Arial" w:cs="Arial"/>
                <w:sz w:val="20"/>
              </w:rPr>
              <w:t xml:space="preserve"> 2023</w:t>
            </w:r>
          </w:p>
        </w:tc>
      </w:tr>
      <w:tr w:rsidR="00F54CC4" w:rsidRPr="00B63034" w14:paraId="1B2A7146" w14:textId="77777777" w:rsidTr="00F90566">
        <w:trPr>
          <w:jc w:val="right"/>
        </w:trPr>
        <w:tc>
          <w:tcPr>
            <w:tcW w:w="452" w:type="pct"/>
            <w:vMerge/>
            <w:tcBorders>
              <w:top w:val="single" w:sz="4" w:space="0" w:color="000000"/>
              <w:left w:val="single" w:sz="4" w:space="0" w:color="000000"/>
            </w:tcBorders>
            <w:shd w:val="clear" w:color="auto" w:fill="auto"/>
            <w:tcMar>
              <w:top w:w="0" w:type="dxa"/>
              <w:bottom w:w="0" w:type="dxa"/>
            </w:tcMar>
            <w:vAlign w:val="center"/>
          </w:tcPr>
          <w:p w14:paraId="26AB948B" w14:textId="77777777" w:rsidR="00F54CC4" w:rsidRPr="00B63034" w:rsidRDefault="00F54CC4" w:rsidP="00F430AB">
            <w:pPr>
              <w:pBdr>
                <w:top w:val="nil"/>
                <w:left w:val="nil"/>
                <w:bottom w:val="nil"/>
                <w:right w:val="nil"/>
                <w:between w:val="nil"/>
              </w:pBdr>
              <w:spacing w:after="120" w:line="360" w:lineRule="auto"/>
              <w:rPr>
                <w:rFonts w:ascii="Arial" w:eastAsia="Arial" w:hAnsi="Arial" w:cs="Arial"/>
                <w:sz w:val="20"/>
                <w:szCs w:val="20"/>
              </w:rPr>
            </w:pPr>
          </w:p>
        </w:tc>
        <w:tc>
          <w:tcPr>
            <w:tcW w:w="1093" w:type="pct"/>
            <w:vMerge/>
            <w:tcBorders>
              <w:top w:val="single" w:sz="4" w:space="0" w:color="000000"/>
              <w:left w:val="single" w:sz="4" w:space="0" w:color="000000"/>
            </w:tcBorders>
            <w:shd w:val="clear" w:color="auto" w:fill="auto"/>
            <w:tcMar>
              <w:top w:w="0" w:type="dxa"/>
              <w:bottom w:w="0" w:type="dxa"/>
            </w:tcMar>
            <w:vAlign w:val="center"/>
          </w:tcPr>
          <w:p w14:paraId="1F6E6AB2" w14:textId="77777777" w:rsidR="00F54CC4" w:rsidRPr="00B63034" w:rsidRDefault="00F54CC4" w:rsidP="00F430AB">
            <w:pPr>
              <w:pBdr>
                <w:top w:val="nil"/>
                <w:left w:val="nil"/>
                <w:bottom w:val="nil"/>
                <w:right w:val="nil"/>
                <w:between w:val="nil"/>
              </w:pBdr>
              <w:spacing w:after="120" w:line="360" w:lineRule="auto"/>
              <w:rPr>
                <w:rFonts w:ascii="Arial" w:eastAsia="Arial" w:hAnsi="Arial" w:cs="Arial"/>
                <w:sz w:val="20"/>
                <w:szCs w:val="20"/>
              </w:rPr>
            </w:pPr>
          </w:p>
        </w:tc>
        <w:tc>
          <w:tcPr>
            <w:tcW w:w="900" w:type="pct"/>
            <w:vMerge/>
            <w:tcBorders>
              <w:top w:val="single" w:sz="4" w:space="0" w:color="000000"/>
              <w:left w:val="single" w:sz="4" w:space="0" w:color="000000"/>
            </w:tcBorders>
            <w:shd w:val="clear" w:color="auto" w:fill="auto"/>
            <w:tcMar>
              <w:top w:w="0" w:type="dxa"/>
              <w:bottom w:w="0" w:type="dxa"/>
            </w:tcMar>
            <w:vAlign w:val="center"/>
          </w:tcPr>
          <w:p w14:paraId="69FFEC1A" w14:textId="77777777" w:rsidR="00F54CC4" w:rsidRPr="00B63034" w:rsidRDefault="00F54CC4" w:rsidP="00F430AB">
            <w:pPr>
              <w:pBdr>
                <w:top w:val="nil"/>
                <w:left w:val="nil"/>
                <w:bottom w:val="nil"/>
                <w:right w:val="nil"/>
                <w:between w:val="nil"/>
              </w:pBdr>
              <w:spacing w:after="120" w:line="360" w:lineRule="auto"/>
              <w:rPr>
                <w:rFonts w:ascii="Arial" w:eastAsia="Arial" w:hAnsi="Arial" w:cs="Arial"/>
                <w:sz w:val="20"/>
                <w:szCs w:val="20"/>
              </w:rPr>
            </w:pPr>
          </w:p>
        </w:tc>
        <w:tc>
          <w:tcPr>
            <w:tcW w:w="1198" w:type="pct"/>
            <w:tcBorders>
              <w:top w:val="single" w:sz="4" w:space="0" w:color="000000"/>
              <w:left w:val="single" w:sz="4" w:space="0" w:color="000000"/>
            </w:tcBorders>
            <w:shd w:val="clear" w:color="auto" w:fill="auto"/>
            <w:tcMar>
              <w:top w:w="0" w:type="dxa"/>
              <w:bottom w:w="0" w:type="dxa"/>
            </w:tcMar>
            <w:vAlign w:val="center"/>
          </w:tcPr>
          <w:p w14:paraId="1A119F8D"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Before adjustment</w:t>
            </w:r>
          </w:p>
        </w:tc>
        <w:tc>
          <w:tcPr>
            <w:tcW w:w="13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22B299"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After adjusting according to audit requirements</w:t>
            </w:r>
          </w:p>
        </w:tc>
      </w:tr>
      <w:tr w:rsidR="00F54CC4" w:rsidRPr="00B63034" w14:paraId="56125B7C" w14:textId="77777777" w:rsidTr="00F90566">
        <w:trPr>
          <w:jc w:val="right"/>
        </w:trPr>
        <w:tc>
          <w:tcPr>
            <w:tcW w:w="452" w:type="pct"/>
            <w:tcBorders>
              <w:top w:val="single" w:sz="4" w:space="0" w:color="000000"/>
              <w:left w:val="single" w:sz="4" w:space="0" w:color="000000"/>
            </w:tcBorders>
            <w:shd w:val="clear" w:color="auto" w:fill="auto"/>
            <w:tcMar>
              <w:top w:w="0" w:type="dxa"/>
              <w:bottom w:w="0" w:type="dxa"/>
            </w:tcMar>
            <w:vAlign w:val="center"/>
          </w:tcPr>
          <w:p w14:paraId="46484E2A"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1</w:t>
            </w:r>
          </w:p>
        </w:tc>
        <w:tc>
          <w:tcPr>
            <w:tcW w:w="1093" w:type="pct"/>
            <w:tcBorders>
              <w:top w:val="single" w:sz="4" w:space="0" w:color="000000"/>
              <w:left w:val="single" w:sz="4" w:space="0" w:color="000000"/>
            </w:tcBorders>
            <w:shd w:val="clear" w:color="auto" w:fill="auto"/>
            <w:tcMar>
              <w:top w:w="0" w:type="dxa"/>
              <w:bottom w:w="0" w:type="dxa"/>
            </w:tcMar>
            <w:vAlign w:val="center"/>
          </w:tcPr>
          <w:p w14:paraId="5EEB82E3"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Total revenue</w:t>
            </w:r>
          </w:p>
        </w:tc>
        <w:tc>
          <w:tcPr>
            <w:tcW w:w="900" w:type="pct"/>
            <w:tcBorders>
              <w:top w:val="single" w:sz="4" w:space="0" w:color="000000"/>
              <w:left w:val="single" w:sz="4" w:space="0" w:color="000000"/>
            </w:tcBorders>
            <w:shd w:val="clear" w:color="auto" w:fill="auto"/>
            <w:tcMar>
              <w:top w:w="0" w:type="dxa"/>
              <w:bottom w:w="0" w:type="dxa"/>
            </w:tcMar>
            <w:vAlign w:val="center"/>
          </w:tcPr>
          <w:p w14:paraId="0C09324F"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685,000</w:t>
            </w:r>
          </w:p>
        </w:tc>
        <w:tc>
          <w:tcPr>
            <w:tcW w:w="1198" w:type="pct"/>
            <w:tcBorders>
              <w:top w:val="single" w:sz="4" w:space="0" w:color="000000"/>
              <w:left w:val="single" w:sz="4" w:space="0" w:color="000000"/>
            </w:tcBorders>
            <w:shd w:val="clear" w:color="auto" w:fill="auto"/>
            <w:tcMar>
              <w:top w:w="0" w:type="dxa"/>
              <w:bottom w:w="0" w:type="dxa"/>
            </w:tcMar>
            <w:vAlign w:val="center"/>
          </w:tcPr>
          <w:p w14:paraId="57DBAD21"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100%</w:t>
            </w:r>
          </w:p>
        </w:tc>
        <w:tc>
          <w:tcPr>
            <w:tcW w:w="13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8DC02E"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110%</w:t>
            </w:r>
          </w:p>
        </w:tc>
      </w:tr>
      <w:tr w:rsidR="00F54CC4" w:rsidRPr="00B63034" w14:paraId="33C5ABBB" w14:textId="77777777" w:rsidTr="00F90566">
        <w:trPr>
          <w:jc w:val="right"/>
        </w:trPr>
        <w:tc>
          <w:tcPr>
            <w:tcW w:w="452" w:type="pct"/>
            <w:tcBorders>
              <w:top w:val="single" w:sz="4" w:space="0" w:color="000000"/>
              <w:left w:val="single" w:sz="4" w:space="0" w:color="000000"/>
            </w:tcBorders>
            <w:shd w:val="clear" w:color="auto" w:fill="auto"/>
            <w:tcMar>
              <w:top w:w="0" w:type="dxa"/>
              <w:bottom w:w="0" w:type="dxa"/>
            </w:tcMar>
            <w:vAlign w:val="center"/>
          </w:tcPr>
          <w:p w14:paraId="194C756C"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2</w:t>
            </w:r>
          </w:p>
        </w:tc>
        <w:tc>
          <w:tcPr>
            <w:tcW w:w="1093" w:type="pct"/>
            <w:tcBorders>
              <w:top w:val="single" w:sz="4" w:space="0" w:color="000000"/>
              <w:left w:val="single" w:sz="4" w:space="0" w:color="000000"/>
            </w:tcBorders>
            <w:shd w:val="clear" w:color="auto" w:fill="auto"/>
            <w:tcMar>
              <w:top w:w="0" w:type="dxa"/>
              <w:bottom w:w="0" w:type="dxa"/>
            </w:tcMar>
            <w:vAlign w:val="center"/>
          </w:tcPr>
          <w:p w14:paraId="25416DC1" w14:textId="35400943" w:rsidR="00F54CC4" w:rsidRPr="00B63034" w:rsidRDefault="00F90566" w:rsidP="00F430AB">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rPr>
              <w:t>Profit before tax</w:t>
            </w:r>
          </w:p>
        </w:tc>
        <w:tc>
          <w:tcPr>
            <w:tcW w:w="900" w:type="pct"/>
            <w:tcBorders>
              <w:top w:val="single" w:sz="4" w:space="0" w:color="000000"/>
              <w:left w:val="single" w:sz="4" w:space="0" w:color="000000"/>
            </w:tcBorders>
            <w:shd w:val="clear" w:color="auto" w:fill="auto"/>
            <w:tcMar>
              <w:top w:w="0" w:type="dxa"/>
              <w:bottom w:w="0" w:type="dxa"/>
            </w:tcMar>
            <w:vAlign w:val="center"/>
          </w:tcPr>
          <w:p w14:paraId="5A1C3D75"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68,530</w:t>
            </w:r>
          </w:p>
        </w:tc>
        <w:tc>
          <w:tcPr>
            <w:tcW w:w="1198" w:type="pct"/>
            <w:tcBorders>
              <w:top w:val="single" w:sz="4" w:space="0" w:color="000000"/>
              <w:left w:val="single" w:sz="4" w:space="0" w:color="000000"/>
            </w:tcBorders>
            <w:shd w:val="clear" w:color="auto" w:fill="auto"/>
            <w:tcMar>
              <w:top w:w="0" w:type="dxa"/>
              <w:bottom w:w="0" w:type="dxa"/>
            </w:tcMar>
            <w:vAlign w:val="center"/>
          </w:tcPr>
          <w:p w14:paraId="086EA220"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99%</w:t>
            </w:r>
          </w:p>
        </w:tc>
        <w:tc>
          <w:tcPr>
            <w:tcW w:w="13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4E5954"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137%</w:t>
            </w:r>
          </w:p>
        </w:tc>
      </w:tr>
      <w:tr w:rsidR="00F54CC4" w:rsidRPr="00B63034" w14:paraId="090B8950" w14:textId="77777777" w:rsidTr="00F90566">
        <w:trPr>
          <w:jc w:val="right"/>
        </w:trPr>
        <w:tc>
          <w:tcPr>
            <w:tcW w:w="452" w:type="pct"/>
            <w:tcBorders>
              <w:top w:val="single" w:sz="4" w:space="0" w:color="000000"/>
              <w:left w:val="single" w:sz="4" w:space="0" w:color="000000"/>
            </w:tcBorders>
            <w:shd w:val="clear" w:color="auto" w:fill="auto"/>
            <w:tcMar>
              <w:top w:w="0" w:type="dxa"/>
              <w:bottom w:w="0" w:type="dxa"/>
            </w:tcMar>
            <w:vAlign w:val="center"/>
          </w:tcPr>
          <w:p w14:paraId="4159F1F6"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3</w:t>
            </w:r>
          </w:p>
        </w:tc>
        <w:tc>
          <w:tcPr>
            <w:tcW w:w="1093" w:type="pct"/>
            <w:tcBorders>
              <w:top w:val="single" w:sz="4" w:space="0" w:color="000000"/>
              <w:left w:val="single" w:sz="4" w:space="0" w:color="000000"/>
            </w:tcBorders>
            <w:shd w:val="clear" w:color="auto" w:fill="auto"/>
            <w:tcMar>
              <w:top w:w="0" w:type="dxa"/>
              <w:bottom w:w="0" w:type="dxa"/>
            </w:tcMar>
            <w:vAlign w:val="center"/>
          </w:tcPr>
          <w:p w14:paraId="32A439B8"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Profit after tax</w:t>
            </w:r>
          </w:p>
        </w:tc>
        <w:tc>
          <w:tcPr>
            <w:tcW w:w="900" w:type="pct"/>
            <w:tcBorders>
              <w:top w:val="single" w:sz="4" w:space="0" w:color="000000"/>
              <w:left w:val="single" w:sz="4" w:space="0" w:color="000000"/>
            </w:tcBorders>
            <w:shd w:val="clear" w:color="auto" w:fill="auto"/>
            <w:tcMar>
              <w:top w:w="0" w:type="dxa"/>
              <w:bottom w:w="0" w:type="dxa"/>
            </w:tcMar>
            <w:vAlign w:val="center"/>
          </w:tcPr>
          <w:p w14:paraId="61470908"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54,624</w:t>
            </w:r>
          </w:p>
        </w:tc>
        <w:tc>
          <w:tcPr>
            <w:tcW w:w="1198" w:type="pct"/>
            <w:tcBorders>
              <w:top w:val="single" w:sz="4" w:space="0" w:color="000000"/>
              <w:left w:val="single" w:sz="4" w:space="0" w:color="000000"/>
            </w:tcBorders>
            <w:shd w:val="clear" w:color="auto" w:fill="auto"/>
            <w:tcMar>
              <w:top w:w="0" w:type="dxa"/>
              <w:bottom w:w="0" w:type="dxa"/>
            </w:tcMar>
            <w:vAlign w:val="center"/>
          </w:tcPr>
          <w:p w14:paraId="7D3252CA"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99%</w:t>
            </w:r>
          </w:p>
        </w:tc>
        <w:tc>
          <w:tcPr>
            <w:tcW w:w="13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9F1C40"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138%</w:t>
            </w:r>
          </w:p>
        </w:tc>
      </w:tr>
      <w:tr w:rsidR="00F54CC4" w:rsidRPr="00B63034" w14:paraId="0124E6B8" w14:textId="77777777" w:rsidTr="00F90566">
        <w:trPr>
          <w:jc w:val="right"/>
        </w:trPr>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9F6F2C"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4</w:t>
            </w:r>
          </w:p>
        </w:tc>
        <w:tc>
          <w:tcPr>
            <w:tcW w:w="10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78ABCB" w14:textId="77777777" w:rsidR="00F54CC4" w:rsidRPr="00B63034" w:rsidRDefault="00657CC2" w:rsidP="00F430AB">
            <w:pPr>
              <w:pBdr>
                <w:top w:val="nil"/>
                <w:left w:val="nil"/>
                <w:bottom w:val="nil"/>
                <w:right w:val="nil"/>
                <w:between w:val="nil"/>
              </w:pBdr>
              <w:spacing w:after="120" w:line="360" w:lineRule="auto"/>
              <w:rPr>
                <w:rFonts w:ascii="Arial" w:eastAsia="Arial" w:hAnsi="Arial" w:cs="Arial"/>
                <w:sz w:val="20"/>
                <w:szCs w:val="20"/>
              </w:rPr>
            </w:pPr>
            <w:r w:rsidRPr="00B63034">
              <w:rPr>
                <w:rFonts w:ascii="Arial" w:hAnsi="Arial" w:cs="Arial"/>
                <w:sz w:val="20"/>
              </w:rPr>
              <w:t>Dividend payment</w:t>
            </w:r>
          </w:p>
        </w:tc>
        <w:tc>
          <w:tcPr>
            <w:tcW w:w="9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638F85"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17%</w:t>
            </w:r>
          </w:p>
        </w:tc>
        <w:tc>
          <w:tcPr>
            <w:tcW w:w="11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85B610"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99%</w:t>
            </w:r>
          </w:p>
        </w:tc>
        <w:tc>
          <w:tcPr>
            <w:tcW w:w="13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A64800" w14:textId="77777777" w:rsidR="00F54CC4" w:rsidRPr="00B63034" w:rsidRDefault="00657CC2" w:rsidP="00F430AB">
            <w:pPr>
              <w:pBdr>
                <w:top w:val="nil"/>
                <w:left w:val="nil"/>
                <w:bottom w:val="nil"/>
                <w:right w:val="nil"/>
                <w:between w:val="nil"/>
              </w:pBdr>
              <w:spacing w:after="120" w:line="360" w:lineRule="auto"/>
              <w:jc w:val="center"/>
              <w:rPr>
                <w:rFonts w:ascii="Arial" w:eastAsia="Arial" w:hAnsi="Arial" w:cs="Arial"/>
                <w:sz w:val="20"/>
                <w:szCs w:val="20"/>
              </w:rPr>
            </w:pPr>
            <w:r w:rsidRPr="00B63034">
              <w:rPr>
                <w:rFonts w:ascii="Arial" w:hAnsi="Arial" w:cs="Arial"/>
                <w:sz w:val="20"/>
              </w:rPr>
              <w:t>138%</w:t>
            </w:r>
          </w:p>
        </w:tc>
      </w:tr>
    </w:tbl>
    <w:p w14:paraId="3115FD44" w14:textId="52EA5394" w:rsidR="00F54CC4" w:rsidRPr="00B63034" w:rsidRDefault="00657CC2" w:rsidP="00F430AB">
      <w:pPr>
        <w:pStyle w:val="ListParagraph"/>
        <w:keepNext/>
        <w:numPr>
          <w:ilvl w:val="0"/>
          <w:numId w:val="1"/>
        </w:numPr>
        <w:pBdr>
          <w:top w:val="nil"/>
          <w:left w:val="nil"/>
          <w:bottom w:val="nil"/>
          <w:right w:val="nil"/>
          <w:between w:val="nil"/>
        </w:pBdr>
        <w:tabs>
          <w:tab w:val="left" w:pos="270"/>
        </w:tabs>
        <w:spacing w:after="120" w:line="360" w:lineRule="auto"/>
        <w:ind w:left="0" w:firstLine="0"/>
        <w:contextualSpacing w:val="0"/>
        <w:rPr>
          <w:rFonts w:ascii="Arial" w:eastAsia="Arial" w:hAnsi="Arial" w:cs="Arial"/>
          <w:sz w:val="20"/>
          <w:szCs w:val="20"/>
        </w:rPr>
      </w:pPr>
      <w:r w:rsidRPr="00B63034">
        <w:rPr>
          <w:rFonts w:ascii="Arial" w:hAnsi="Arial" w:cs="Arial"/>
          <w:sz w:val="20"/>
        </w:rPr>
        <w:t>Capital construction investment plan in 2024</w:t>
      </w:r>
    </w:p>
    <w:p w14:paraId="33A1DF03" w14:textId="77777777" w:rsidR="00F54CC4" w:rsidRPr="00B63034" w:rsidRDefault="00657CC2" w:rsidP="00F430AB">
      <w:pPr>
        <w:pBdr>
          <w:top w:val="nil"/>
          <w:left w:val="nil"/>
          <w:bottom w:val="nil"/>
          <w:right w:val="nil"/>
          <w:between w:val="nil"/>
        </w:pBdr>
        <w:tabs>
          <w:tab w:val="left" w:pos="2297"/>
          <w:tab w:val="left" w:pos="5495"/>
        </w:tabs>
        <w:spacing w:after="120" w:line="360" w:lineRule="auto"/>
        <w:rPr>
          <w:rFonts w:ascii="Arial" w:eastAsia="Arial" w:hAnsi="Arial" w:cs="Arial"/>
          <w:sz w:val="20"/>
          <w:szCs w:val="20"/>
        </w:rPr>
      </w:pPr>
      <w:r w:rsidRPr="00B63034">
        <w:rPr>
          <w:rFonts w:ascii="Arial" w:hAnsi="Arial" w:cs="Arial"/>
          <w:sz w:val="20"/>
        </w:rPr>
        <w:t xml:space="preserve">Capital construction investment plan, purchasing machine and equipment Organize and implement </w:t>
      </w:r>
      <w:r w:rsidRPr="00B63034">
        <w:rPr>
          <w:rFonts w:ascii="Arial" w:hAnsi="Arial" w:cs="Arial"/>
          <w:sz w:val="20"/>
        </w:rPr>
        <w:lastRenderedPageBreak/>
        <w:t>compliance with the processes and regulations of the Law and the Army, complete investment items and procurement of machinery and equipment according to the approved plan, meeting the requirements of production and business tasks. Expected investment value in 2024 is VND 62.5 billion, specifically as follows:</w:t>
      </w:r>
    </w:p>
    <w:p w14:paraId="63F5509A" w14:textId="5C8ED96D" w:rsidR="00F54CC4" w:rsidRPr="00B63034" w:rsidRDefault="00657CC2" w:rsidP="00F430AB">
      <w:pPr>
        <w:numPr>
          <w:ilvl w:val="0"/>
          <w:numId w:val="2"/>
        </w:numPr>
        <w:pBdr>
          <w:top w:val="nil"/>
          <w:left w:val="nil"/>
          <w:bottom w:val="nil"/>
          <w:right w:val="nil"/>
          <w:between w:val="nil"/>
        </w:pBdr>
        <w:tabs>
          <w:tab w:val="left" w:pos="360"/>
          <w:tab w:val="left" w:pos="4080"/>
          <w:tab w:val="left" w:pos="5495"/>
        </w:tabs>
        <w:spacing w:after="120" w:line="360" w:lineRule="auto"/>
        <w:rPr>
          <w:rFonts w:ascii="Arial" w:eastAsia="Arial" w:hAnsi="Arial" w:cs="Arial"/>
          <w:sz w:val="20"/>
          <w:szCs w:val="20"/>
        </w:rPr>
      </w:pPr>
      <w:r w:rsidRPr="00B63034">
        <w:rPr>
          <w:rFonts w:ascii="Arial" w:hAnsi="Arial" w:cs="Arial"/>
          <w:sz w:val="20"/>
        </w:rPr>
        <w:t>03 intermittent dyeing machines: VND 12.8 billion;</w:t>
      </w:r>
    </w:p>
    <w:p w14:paraId="55220DF8" w14:textId="21B29F1D" w:rsidR="00F54CC4" w:rsidRPr="00B63034" w:rsidRDefault="00657CC2" w:rsidP="00F430AB">
      <w:pPr>
        <w:numPr>
          <w:ilvl w:val="0"/>
          <w:numId w:val="2"/>
        </w:numPr>
        <w:pBdr>
          <w:top w:val="nil"/>
          <w:left w:val="nil"/>
          <w:bottom w:val="nil"/>
          <w:right w:val="nil"/>
          <w:between w:val="nil"/>
        </w:pBdr>
        <w:tabs>
          <w:tab w:val="left" w:pos="360"/>
          <w:tab w:val="left" w:pos="5495"/>
        </w:tabs>
        <w:spacing w:after="120" w:line="360" w:lineRule="auto"/>
        <w:rPr>
          <w:rFonts w:ascii="Arial" w:eastAsia="Arial" w:hAnsi="Arial" w:cs="Arial"/>
          <w:sz w:val="20"/>
          <w:szCs w:val="20"/>
        </w:rPr>
      </w:pPr>
      <w:r w:rsidRPr="00B63034">
        <w:rPr>
          <w:rFonts w:ascii="Arial" w:hAnsi="Arial" w:cs="Arial"/>
          <w:sz w:val="20"/>
        </w:rPr>
        <w:t>01 STKD steamer: VND 21.6 billion;</w:t>
      </w:r>
    </w:p>
    <w:p w14:paraId="167EBDC3" w14:textId="5D9F1A0A" w:rsidR="00F54CC4" w:rsidRPr="00B63034" w:rsidRDefault="00657CC2" w:rsidP="00F430AB">
      <w:pPr>
        <w:numPr>
          <w:ilvl w:val="0"/>
          <w:numId w:val="2"/>
        </w:numPr>
        <w:pBdr>
          <w:top w:val="nil"/>
          <w:left w:val="nil"/>
          <w:bottom w:val="nil"/>
          <w:right w:val="nil"/>
          <w:between w:val="nil"/>
        </w:pBdr>
        <w:tabs>
          <w:tab w:val="left" w:pos="360"/>
          <w:tab w:val="left" w:pos="5495"/>
        </w:tabs>
        <w:spacing w:after="120" w:line="360" w:lineRule="auto"/>
        <w:rPr>
          <w:rFonts w:ascii="Arial" w:eastAsia="Arial" w:hAnsi="Arial" w:cs="Arial"/>
          <w:sz w:val="20"/>
          <w:szCs w:val="20"/>
        </w:rPr>
      </w:pPr>
      <w:r w:rsidRPr="00B63034">
        <w:rPr>
          <w:rFonts w:ascii="Arial" w:hAnsi="Arial" w:cs="Arial"/>
          <w:sz w:val="20"/>
        </w:rPr>
        <w:t>01 15</w:t>
      </w:r>
      <w:r w:rsidR="000A60F8" w:rsidRPr="00B63034">
        <w:rPr>
          <w:rFonts w:ascii="Arial" w:hAnsi="Arial" w:cs="Arial"/>
          <w:sz w:val="20"/>
        </w:rPr>
        <w:t>-</w:t>
      </w:r>
      <w:r w:rsidRPr="00B63034">
        <w:rPr>
          <w:rFonts w:ascii="Arial" w:hAnsi="Arial" w:cs="Arial"/>
          <w:sz w:val="20"/>
        </w:rPr>
        <w:t>ton boiler: VND 15.0 billion;</w:t>
      </w:r>
    </w:p>
    <w:p w14:paraId="17428D14" w14:textId="5342CC08" w:rsidR="00F54CC4" w:rsidRPr="00B63034" w:rsidRDefault="00657CC2" w:rsidP="00F430AB">
      <w:pPr>
        <w:numPr>
          <w:ilvl w:val="0"/>
          <w:numId w:val="2"/>
        </w:numPr>
        <w:pBdr>
          <w:top w:val="nil"/>
          <w:left w:val="nil"/>
          <w:bottom w:val="nil"/>
          <w:right w:val="nil"/>
          <w:between w:val="nil"/>
        </w:pBdr>
        <w:tabs>
          <w:tab w:val="left" w:pos="360"/>
          <w:tab w:val="left" w:pos="5495"/>
        </w:tabs>
        <w:spacing w:after="120" w:line="360" w:lineRule="auto"/>
        <w:rPr>
          <w:rFonts w:ascii="Arial" w:eastAsia="Arial" w:hAnsi="Arial" w:cs="Arial"/>
          <w:sz w:val="20"/>
          <w:szCs w:val="20"/>
        </w:rPr>
      </w:pPr>
      <w:r w:rsidRPr="00B63034">
        <w:rPr>
          <w:rFonts w:ascii="Arial" w:hAnsi="Arial" w:cs="Arial"/>
          <w:sz w:val="20"/>
        </w:rPr>
        <w:t>Specialized equipment and machines for the garment industry: VND 9.6 billion;</w:t>
      </w:r>
    </w:p>
    <w:p w14:paraId="6F2AE452" w14:textId="66016AC6" w:rsidR="00F54CC4" w:rsidRPr="00B63034" w:rsidRDefault="00657CC2" w:rsidP="00F430AB">
      <w:pPr>
        <w:numPr>
          <w:ilvl w:val="0"/>
          <w:numId w:val="2"/>
        </w:numPr>
        <w:pBdr>
          <w:top w:val="nil"/>
          <w:left w:val="nil"/>
          <w:bottom w:val="nil"/>
          <w:right w:val="nil"/>
          <w:between w:val="nil"/>
        </w:pBdr>
        <w:tabs>
          <w:tab w:val="left" w:pos="360"/>
          <w:tab w:val="left" w:pos="5495"/>
        </w:tabs>
        <w:spacing w:after="120" w:line="360" w:lineRule="auto"/>
        <w:rPr>
          <w:rFonts w:ascii="Arial" w:eastAsia="Arial" w:hAnsi="Arial" w:cs="Arial"/>
          <w:sz w:val="20"/>
          <w:szCs w:val="20"/>
        </w:rPr>
      </w:pPr>
      <w:r w:rsidRPr="00B63034">
        <w:rPr>
          <w:rFonts w:ascii="Arial" w:hAnsi="Arial" w:cs="Arial"/>
          <w:sz w:val="20"/>
        </w:rPr>
        <w:t>Installing automatic groundwater and wastewater moni</w:t>
      </w:r>
      <w:r w:rsidR="00F90566">
        <w:rPr>
          <w:rFonts w:ascii="Arial" w:hAnsi="Arial" w:cs="Arial"/>
          <w:sz w:val="20"/>
        </w:rPr>
        <w:t>toring systems: VND 3.5 billion</w:t>
      </w:r>
    </w:p>
    <w:p w14:paraId="5B86167F" w14:textId="77777777" w:rsidR="00F54CC4" w:rsidRPr="00B63034"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‎‎Article 2. Approve the report on the activities of the Board of Directors in 2023 and the operational plan 2024.</w:t>
      </w:r>
    </w:p>
    <w:p w14:paraId="4219F7F4" w14:textId="77777777" w:rsidR="00F54CC4" w:rsidRPr="00B63034"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‎‎Article 3. Approve the Audited Financial Statements in 2023</w:t>
      </w:r>
    </w:p>
    <w:p w14:paraId="794A221B" w14:textId="77777777" w:rsidR="00F54CC4" w:rsidRPr="00B63034"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‎‎Article 4. Approve the report on the activities of the Supervisory Board in 2023, and the operational plan 2024.</w:t>
      </w:r>
    </w:p>
    <w:p w14:paraId="2C0B572D" w14:textId="77777777" w:rsidR="00F54CC4" w:rsidRPr="00B63034"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‎‎Article 5. Approve the Proposal on selecting an audit company in 2024</w:t>
      </w:r>
    </w:p>
    <w:p w14:paraId="4A1C2C71" w14:textId="760A7D15" w:rsidR="00F54CC4" w:rsidRPr="00B63034"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 xml:space="preserve">‎‎Article 6. Approve </w:t>
      </w:r>
      <w:r w:rsidR="000A60F8" w:rsidRPr="00B63034">
        <w:rPr>
          <w:rFonts w:ascii="Arial" w:hAnsi="Arial" w:cs="Arial"/>
          <w:sz w:val="20"/>
        </w:rPr>
        <w:t>the Proposal on</w:t>
      </w:r>
      <w:r w:rsidRPr="00B63034">
        <w:rPr>
          <w:rFonts w:ascii="Arial" w:hAnsi="Arial" w:cs="Arial"/>
          <w:sz w:val="20"/>
        </w:rPr>
        <w:t xml:space="preserve"> profit distribution plan, dividend payment in 2023 and profit distribution plan and dividend payment in 2024</w:t>
      </w:r>
    </w:p>
    <w:p w14:paraId="2B5E0F44" w14:textId="77777777" w:rsidR="00657CC2" w:rsidRPr="00B63034" w:rsidRDefault="00657CC2" w:rsidP="00F430AB">
      <w:pPr>
        <w:pStyle w:val="BodyText"/>
        <w:numPr>
          <w:ilvl w:val="0"/>
          <w:numId w:val="5"/>
        </w:numPr>
        <w:spacing w:after="120" w:line="360" w:lineRule="auto"/>
        <w:ind w:left="0" w:firstLine="0"/>
        <w:rPr>
          <w:rFonts w:ascii="Arial" w:hAnsi="Arial" w:cs="Arial"/>
          <w:sz w:val="20"/>
          <w:szCs w:val="20"/>
        </w:rPr>
      </w:pPr>
      <w:r w:rsidRPr="00B63034">
        <w:rPr>
          <w:rFonts w:ascii="Arial" w:hAnsi="Arial" w:cs="Arial"/>
          <w:sz w:val="20"/>
        </w:rPr>
        <w:t>Plan for profit distribution and dividend payment in 2023;</w:t>
      </w:r>
    </w:p>
    <w:p w14:paraId="527C5B86" w14:textId="77777777" w:rsidR="00657CC2" w:rsidRPr="00B63034" w:rsidRDefault="00657CC2" w:rsidP="00F430AB">
      <w:pPr>
        <w:pStyle w:val="Tablecaption0"/>
        <w:spacing w:after="120" w:line="360" w:lineRule="auto"/>
        <w:jc w:val="right"/>
        <w:rPr>
          <w:rFonts w:ascii="Arial" w:hAnsi="Arial" w:cs="Arial"/>
          <w:b w:val="0"/>
          <w:bCs w:val="0"/>
          <w:sz w:val="20"/>
          <w:szCs w:val="20"/>
        </w:rPr>
      </w:pPr>
      <w:r w:rsidRPr="00B63034">
        <w:rPr>
          <w:rFonts w:ascii="Arial" w:hAnsi="Arial" w:cs="Arial"/>
          <w:b w:val="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1"/>
        <w:gridCol w:w="1825"/>
        <w:gridCol w:w="1494"/>
        <w:gridCol w:w="1944"/>
        <w:gridCol w:w="1712"/>
        <w:gridCol w:w="1544"/>
      </w:tblGrid>
      <w:tr w:rsidR="00657CC2" w:rsidRPr="00B63034" w14:paraId="1DD678A1" w14:textId="77777777" w:rsidTr="00F90566">
        <w:tc>
          <w:tcPr>
            <w:tcW w:w="272" w:type="pct"/>
            <w:shd w:val="clear" w:color="auto" w:fill="auto"/>
            <w:vAlign w:val="center"/>
          </w:tcPr>
          <w:p w14:paraId="07D009E3"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No.</w:t>
            </w:r>
          </w:p>
        </w:tc>
        <w:tc>
          <w:tcPr>
            <w:tcW w:w="1013" w:type="pct"/>
            <w:shd w:val="clear" w:color="auto" w:fill="auto"/>
            <w:vAlign w:val="center"/>
          </w:tcPr>
          <w:p w14:paraId="5317F3A6"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Explanation</w:t>
            </w:r>
          </w:p>
        </w:tc>
        <w:tc>
          <w:tcPr>
            <w:tcW w:w="829" w:type="pct"/>
            <w:shd w:val="clear" w:color="auto" w:fill="auto"/>
            <w:vAlign w:val="center"/>
          </w:tcPr>
          <w:p w14:paraId="58EB0B42"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Distribution of profit after tax in 2022</w:t>
            </w:r>
          </w:p>
        </w:tc>
        <w:tc>
          <w:tcPr>
            <w:tcW w:w="1079" w:type="pct"/>
            <w:shd w:val="clear" w:color="auto" w:fill="auto"/>
            <w:vAlign w:val="center"/>
          </w:tcPr>
          <w:p w14:paraId="60ED9B2A" w14:textId="7DCDA98F"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The increased profit due to the State Audit in 2022 has not yet been distributed</w:t>
            </w:r>
          </w:p>
        </w:tc>
        <w:tc>
          <w:tcPr>
            <w:tcW w:w="950" w:type="pct"/>
            <w:shd w:val="clear" w:color="auto" w:fill="auto"/>
            <w:vAlign w:val="center"/>
          </w:tcPr>
          <w:p w14:paraId="166674B3"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Distribution of profit after tax in 2023</w:t>
            </w:r>
          </w:p>
        </w:tc>
        <w:tc>
          <w:tcPr>
            <w:tcW w:w="857" w:type="pct"/>
            <w:shd w:val="clear" w:color="auto" w:fill="auto"/>
            <w:vAlign w:val="center"/>
          </w:tcPr>
          <w:p w14:paraId="7397B3B7"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Total</w:t>
            </w:r>
          </w:p>
        </w:tc>
      </w:tr>
      <w:tr w:rsidR="00657CC2" w:rsidRPr="00B63034" w14:paraId="2DDA00D8" w14:textId="77777777" w:rsidTr="00F90566">
        <w:tc>
          <w:tcPr>
            <w:tcW w:w="272" w:type="pct"/>
            <w:shd w:val="clear" w:color="auto" w:fill="auto"/>
            <w:vAlign w:val="center"/>
          </w:tcPr>
          <w:p w14:paraId="47DE89C9"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1</w:t>
            </w:r>
          </w:p>
        </w:tc>
        <w:tc>
          <w:tcPr>
            <w:tcW w:w="1013" w:type="pct"/>
            <w:shd w:val="clear" w:color="auto" w:fill="auto"/>
            <w:vAlign w:val="center"/>
          </w:tcPr>
          <w:p w14:paraId="3F58C0EE"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Profit after tax</w:t>
            </w:r>
          </w:p>
        </w:tc>
        <w:tc>
          <w:tcPr>
            <w:tcW w:w="829" w:type="pct"/>
            <w:shd w:val="clear" w:color="auto" w:fill="auto"/>
            <w:vAlign w:val="center"/>
          </w:tcPr>
          <w:p w14:paraId="4AEE4D4A"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70,060,930,806</w:t>
            </w:r>
          </w:p>
        </w:tc>
        <w:tc>
          <w:tcPr>
            <w:tcW w:w="1079" w:type="pct"/>
            <w:shd w:val="clear" w:color="auto" w:fill="auto"/>
            <w:vAlign w:val="center"/>
          </w:tcPr>
          <w:p w14:paraId="33180020"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15,239,331,726</w:t>
            </w:r>
          </w:p>
        </w:tc>
        <w:tc>
          <w:tcPr>
            <w:tcW w:w="950" w:type="pct"/>
            <w:shd w:val="clear" w:color="auto" w:fill="auto"/>
            <w:vAlign w:val="center"/>
          </w:tcPr>
          <w:p w14:paraId="3AC9A936"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39,614,513,924</w:t>
            </w:r>
          </w:p>
        </w:tc>
        <w:tc>
          <w:tcPr>
            <w:tcW w:w="857" w:type="pct"/>
            <w:shd w:val="clear" w:color="auto" w:fill="auto"/>
            <w:vAlign w:val="center"/>
          </w:tcPr>
          <w:p w14:paraId="656D516F"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54,853,845,650</w:t>
            </w:r>
          </w:p>
        </w:tc>
      </w:tr>
      <w:tr w:rsidR="00657CC2" w:rsidRPr="00B63034" w14:paraId="521DB78D" w14:textId="77777777" w:rsidTr="00F90566">
        <w:tc>
          <w:tcPr>
            <w:tcW w:w="272" w:type="pct"/>
            <w:shd w:val="clear" w:color="auto" w:fill="auto"/>
            <w:vAlign w:val="center"/>
          </w:tcPr>
          <w:p w14:paraId="1F5F1911"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2</w:t>
            </w:r>
          </w:p>
        </w:tc>
        <w:tc>
          <w:tcPr>
            <w:tcW w:w="1013" w:type="pct"/>
            <w:shd w:val="clear" w:color="auto" w:fill="auto"/>
            <w:vAlign w:val="center"/>
          </w:tcPr>
          <w:p w14:paraId="1E51564D"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Appropriation for funds</w:t>
            </w:r>
          </w:p>
        </w:tc>
        <w:tc>
          <w:tcPr>
            <w:tcW w:w="829" w:type="pct"/>
            <w:shd w:val="clear" w:color="auto" w:fill="auto"/>
            <w:vAlign w:val="center"/>
          </w:tcPr>
          <w:p w14:paraId="3168997F"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36,541,788,306</w:t>
            </w:r>
          </w:p>
        </w:tc>
        <w:tc>
          <w:tcPr>
            <w:tcW w:w="1079" w:type="pct"/>
            <w:shd w:val="clear" w:color="auto" w:fill="auto"/>
            <w:vAlign w:val="center"/>
          </w:tcPr>
          <w:p w14:paraId="14D56898"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7,919,059,226</w:t>
            </w:r>
          </w:p>
        </w:tc>
        <w:tc>
          <w:tcPr>
            <w:tcW w:w="950" w:type="pct"/>
            <w:shd w:val="clear" w:color="auto" w:fill="auto"/>
            <w:vAlign w:val="center"/>
          </w:tcPr>
          <w:p w14:paraId="5A1A3F52"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20,1</w:t>
            </w:r>
            <w:bookmarkStart w:id="0" w:name="_GoBack"/>
            <w:bookmarkEnd w:id="0"/>
            <w:r w:rsidRPr="00B63034">
              <w:rPr>
                <w:rFonts w:ascii="Arial" w:hAnsi="Arial" w:cs="Arial"/>
                <w:sz w:val="20"/>
              </w:rPr>
              <w:t>20,584,423</w:t>
            </w:r>
          </w:p>
        </w:tc>
        <w:tc>
          <w:tcPr>
            <w:tcW w:w="857" w:type="pct"/>
            <w:shd w:val="clear" w:color="auto" w:fill="auto"/>
            <w:vAlign w:val="center"/>
          </w:tcPr>
          <w:p w14:paraId="3BFC1E28"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28,039,643,649</w:t>
            </w:r>
          </w:p>
        </w:tc>
      </w:tr>
      <w:tr w:rsidR="00657CC2" w:rsidRPr="00B63034" w14:paraId="7F59F466" w14:textId="77777777" w:rsidTr="00F90566">
        <w:tc>
          <w:tcPr>
            <w:tcW w:w="272" w:type="pct"/>
            <w:shd w:val="clear" w:color="auto" w:fill="auto"/>
            <w:vAlign w:val="center"/>
          </w:tcPr>
          <w:p w14:paraId="59177FF3" w14:textId="77777777" w:rsidR="00657CC2" w:rsidRPr="00B63034" w:rsidRDefault="00657CC2" w:rsidP="00F430AB">
            <w:pPr>
              <w:spacing w:after="120" w:line="360" w:lineRule="auto"/>
              <w:rPr>
                <w:rFonts w:ascii="Arial" w:hAnsi="Arial" w:cs="Arial"/>
                <w:sz w:val="20"/>
                <w:szCs w:val="20"/>
              </w:rPr>
            </w:pPr>
          </w:p>
        </w:tc>
        <w:tc>
          <w:tcPr>
            <w:tcW w:w="1013" w:type="pct"/>
            <w:shd w:val="clear" w:color="auto" w:fill="auto"/>
            <w:vAlign w:val="center"/>
          </w:tcPr>
          <w:p w14:paraId="75948469"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 Investment and development fund.</w:t>
            </w:r>
          </w:p>
        </w:tc>
        <w:tc>
          <w:tcPr>
            <w:tcW w:w="829" w:type="pct"/>
            <w:shd w:val="clear" w:color="auto" w:fill="auto"/>
            <w:vAlign w:val="center"/>
          </w:tcPr>
          <w:p w14:paraId="5DA8A901"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21,018,279,242</w:t>
            </w:r>
          </w:p>
        </w:tc>
        <w:tc>
          <w:tcPr>
            <w:tcW w:w="1079" w:type="pct"/>
            <w:shd w:val="clear" w:color="auto" w:fill="auto"/>
            <w:vAlign w:val="center"/>
          </w:tcPr>
          <w:p w14:paraId="2A6864C1"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4,571,799,518</w:t>
            </w:r>
          </w:p>
        </w:tc>
        <w:tc>
          <w:tcPr>
            <w:tcW w:w="950" w:type="pct"/>
            <w:shd w:val="clear" w:color="auto" w:fill="auto"/>
            <w:vAlign w:val="center"/>
          </w:tcPr>
          <w:p w14:paraId="01EE0E58"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11,884,354,177</w:t>
            </w:r>
          </w:p>
        </w:tc>
        <w:tc>
          <w:tcPr>
            <w:tcW w:w="857" w:type="pct"/>
            <w:shd w:val="clear" w:color="auto" w:fill="auto"/>
            <w:vAlign w:val="center"/>
          </w:tcPr>
          <w:p w14:paraId="24A8EB5C"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16,456,153,695</w:t>
            </w:r>
          </w:p>
        </w:tc>
      </w:tr>
      <w:tr w:rsidR="00657CC2" w:rsidRPr="00B63034" w14:paraId="4E85FAD8" w14:textId="77777777" w:rsidTr="00F90566">
        <w:tc>
          <w:tcPr>
            <w:tcW w:w="272" w:type="pct"/>
            <w:shd w:val="clear" w:color="auto" w:fill="auto"/>
            <w:vAlign w:val="center"/>
          </w:tcPr>
          <w:p w14:paraId="3901E4F1" w14:textId="77777777" w:rsidR="00657CC2" w:rsidRPr="00B63034" w:rsidRDefault="00657CC2" w:rsidP="00F430AB">
            <w:pPr>
              <w:spacing w:after="120" w:line="360" w:lineRule="auto"/>
              <w:rPr>
                <w:rFonts w:ascii="Arial" w:hAnsi="Arial" w:cs="Arial"/>
                <w:sz w:val="20"/>
                <w:szCs w:val="20"/>
              </w:rPr>
            </w:pPr>
          </w:p>
        </w:tc>
        <w:tc>
          <w:tcPr>
            <w:tcW w:w="1013" w:type="pct"/>
            <w:shd w:val="clear" w:color="auto" w:fill="auto"/>
            <w:vAlign w:val="center"/>
          </w:tcPr>
          <w:p w14:paraId="18B8BD02"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 Bonus and welfare fund</w:t>
            </w:r>
          </w:p>
        </w:tc>
        <w:tc>
          <w:tcPr>
            <w:tcW w:w="829" w:type="pct"/>
            <w:shd w:val="clear" w:color="auto" w:fill="auto"/>
            <w:vAlign w:val="center"/>
          </w:tcPr>
          <w:p w14:paraId="0237A5D6"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15,192,009,064</w:t>
            </w:r>
          </w:p>
        </w:tc>
        <w:tc>
          <w:tcPr>
            <w:tcW w:w="1079" w:type="pct"/>
            <w:shd w:val="clear" w:color="auto" w:fill="auto"/>
            <w:vAlign w:val="center"/>
          </w:tcPr>
          <w:p w14:paraId="2BE1A762"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3,347,259,708</w:t>
            </w:r>
          </w:p>
        </w:tc>
        <w:tc>
          <w:tcPr>
            <w:tcW w:w="950" w:type="pct"/>
            <w:shd w:val="clear" w:color="auto" w:fill="auto"/>
            <w:vAlign w:val="center"/>
          </w:tcPr>
          <w:p w14:paraId="0ADF2DA1"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8,509,562,246</w:t>
            </w:r>
          </w:p>
        </w:tc>
        <w:tc>
          <w:tcPr>
            <w:tcW w:w="857" w:type="pct"/>
            <w:shd w:val="clear" w:color="auto" w:fill="auto"/>
            <w:vAlign w:val="center"/>
          </w:tcPr>
          <w:p w14:paraId="2EE6277F"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11,856,821,954</w:t>
            </w:r>
          </w:p>
        </w:tc>
      </w:tr>
      <w:tr w:rsidR="00657CC2" w:rsidRPr="00B63034" w14:paraId="3B1EEC86" w14:textId="77777777" w:rsidTr="00F90566">
        <w:tc>
          <w:tcPr>
            <w:tcW w:w="272" w:type="pct"/>
            <w:shd w:val="clear" w:color="auto" w:fill="auto"/>
            <w:vAlign w:val="center"/>
          </w:tcPr>
          <w:p w14:paraId="04F503CB" w14:textId="77777777" w:rsidR="00657CC2" w:rsidRPr="00B63034" w:rsidRDefault="00657CC2" w:rsidP="00F430AB">
            <w:pPr>
              <w:spacing w:after="120" w:line="360" w:lineRule="auto"/>
              <w:rPr>
                <w:rFonts w:ascii="Arial" w:hAnsi="Arial" w:cs="Arial"/>
                <w:sz w:val="20"/>
                <w:szCs w:val="20"/>
              </w:rPr>
            </w:pPr>
          </w:p>
        </w:tc>
        <w:tc>
          <w:tcPr>
            <w:tcW w:w="1013" w:type="pct"/>
            <w:shd w:val="clear" w:color="auto" w:fill="auto"/>
            <w:vAlign w:val="center"/>
          </w:tcPr>
          <w:p w14:paraId="469F359F"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 Bonus fund of Managers</w:t>
            </w:r>
          </w:p>
        </w:tc>
        <w:tc>
          <w:tcPr>
            <w:tcW w:w="829" w:type="pct"/>
            <w:shd w:val="clear" w:color="auto" w:fill="auto"/>
            <w:vAlign w:val="center"/>
          </w:tcPr>
          <w:p w14:paraId="64D8FB69"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331,500,000</w:t>
            </w:r>
          </w:p>
        </w:tc>
        <w:tc>
          <w:tcPr>
            <w:tcW w:w="1079" w:type="pct"/>
            <w:shd w:val="clear" w:color="auto" w:fill="auto"/>
            <w:vAlign w:val="center"/>
          </w:tcPr>
          <w:p w14:paraId="7331E580" w14:textId="77777777" w:rsidR="00657CC2" w:rsidRPr="00B63034" w:rsidRDefault="00657CC2" w:rsidP="00F430AB">
            <w:pPr>
              <w:spacing w:after="120" w:line="360" w:lineRule="auto"/>
              <w:jc w:val="right"/>
              <w:rPr>
                <w:rFonts w:ascii="Arial" w:hAnsi="Arial" w:cs="Arial"/>
                <w:sz w:val="20"/>
                <w:szCs w:val="20"/>
              </w:rPr>
            </w:pPr>
          </w:p>
        </w:tc>
        <w:tc>
          <w:tcPr>
            <w:tcW w:w="950" w:type="pct"/>
            <w:shd w:val="clear" w:color="auto" w:fill="auto"/>
            <w:vAlign w:val="center"/>
          </w:tcPr>
          <w:p w14:paraId="5C3E5117"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166,668,000</w:t>
            </w:r>
          </w:p>
        </w:tc>
        <w:tc>
          <w:tcPr>
            <w:tcW w:w="857" w:type="pct"/>
            <w:shd w:val="clear" w:color="auto" w:fill="auto"/>
            <w:vAlign w:val="center"/>
          </w:tcPr>
          <w:p w14:paraId="5DB9C748"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166,668,000</w:t>
            </w:r>
          </w:p>
        </w:tc>
      </w:tr>
      <w:tr w:rsidR="00657CC2" w:rsidRPr="00B63034" w14:paraId="16001380" w14:textId="77777777" w:rsidTr="00F90566">
        <w:tc>
          <w:tcPr>
            <w:tcW w:w="272" w:type="pct"/>
            <w:shd w:val="clear" w:color="auto" w:fill="auto"/>
            <w:vAlign w:val="center"/>
          </w:tcPr>
          <w:p w14:paraId="2C64A294"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3</w:t>
            </w:r>
          </w:p>
        </w:tc>
        <w:tc>
          <w:tcPr>
            <w:tcW w:w="1013" w:type="pct"/>
            <w:shd w:val="clear" w:color="auto" w:fill="auto"/>
            <w:vAlign w:val="center"/>
          </w:tcPr>
          <w:p w14:paraId="2BBDCFB3"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Dividend payment:</w:t>
            </w:r>
          </w:p>
          <w:p w14:paraId="2BD5C7E4" w14:textId="2833A899" w:rsidR="00657CC2" w:rsidRPr="00B63034" w:rsidRDefault="00657CC2" w:rsidP="00F430AB">
            <w:pPr>
              <w:pStyle w:val="Other0"/>
              <w:numPr>
                <w:ilvl w:val="0"/>
                <w:numId w:val="9"/>
              </w:numPr>
              <w:tabs>
                <w:tab w:val="left" w:pos="432"/>
              </w:tabs>
              <w:spacing w:after="120" w:line="360" w:lineRule="auto"/>
              <w:rPr>
                <w:rFonts w:ascii="Arial" w:hAnsi="Arial" w:cs="Arial"/>
                <w:sz w:val="20"/>
                <w:szCs w:val="20"/>
              </w:rPr>
            </w:pPr>
            <w:r w:rsidRPr="00B63034">
              <w:rPr>
                <w:rFonts w:ascii="Arial" w:hAnsi="Arial" w:cs="Arial"/>
                <w:sz w:val="20"/>
              </w:rPr>
              <w:lastRenderedPageBreak/>
              <w:t>In 2022: 21.75%</w:t>
            </w:r>
          </w:p>
          <w:p w14:paraId="436242B4" w14:textId="225EB7E8" w:rsidR="00657CC2" w:rsidRPr="00B63034" w:rsidRDefault="00657CC2" w:rsidP="00F430AB">
            <w:pPr>
              <w:pStyle w:val="Other0"/>
              <w:numPr>
                <w:ilvl w:val="0"/>
                <w:numId w:val="10"/>
              </w:numPr>
              <w:tabs>
                <w:tab w:val="left" w:pos="432"/>
              </w:tabs>
              <w:spacing w:after="120" w:line="360" w:lineRule="auto"/>
              <w:rPr>
                <w:rFonts w:ascii="Arial" w:hAnsi="Arial" w:cs="Arial"/>
                <w:sz w:val="20"/>
                <w:szCs w:val="20"/>
              </w:rPr>
            </w:pPr>
            <w:r w:rsidRPr="00B63034">
              <w:rPr>
                <w:rFonts w:ascii="Arial" w:hAnsi="Arial" w:cs="Arial"/>
                <w:sz w:val="20"/>
              </w:rPr>
              <w:t>In 2023: 12.36%</w:t>
            </w:r>
          </w:p>
        </w:tc>
        <w:tc>
          <w:tcPr>
            <w:tcW w:w="829" w:type="pct"/>
            <w:shd w:val="clear" w:color="auto" w:fill="auto"/>
            <w:vAlign w:val="center"/>
          </w:tcPr>
          <w:p w14:paraId="2BA5DB2B"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lastRenderedPageBreak/>
              <w:t>33,519,142,500</w:t>
            </w:r>
          </w:p>
        </w:tc>
        <w:tc>
          <w:tcPr>
            <w:tcW w:w="1079" w:type="pct"/>
            <w:shd w:val="clear" w:color="auto" w:fill="auto"/>
            <w:vAlign w:val="center"/>
          </w:tcPr>
          <w:p w14:paraId="14D5CA0E"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7,320,272,500</w:t>
            </w:r>
          </w:p>
        </w:tc>
        <w:tc>
          <w:tcPr>
            <w:tcW w:w="950" w:type="pct"/>
            <w:shd w:val="clear" w:color="auto" w:fill="auto"/>
            <w:vAlign w:val="center"/>
          </w:tcPr>
          <w:p w14:paraId="68B52EDC"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19,053,929,501</w:t>
            </w:r>
          </w:p>
        </w:tc>
        <w:tc>
          <w:tcPr>
            <w:tcW w:w="857" w:type="pct"/>
            <w:shd w:val="clear" w:color="auto" w:fill="auto"/>
            <w:vAlign w:val="center"/>
          </w:tcPr>
          <w:p w14:paraId="09D39B78"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26,374,202,001</w:t>
            </w:r>
          </w:p>
        </w:tc>
      </w:tr>
    </w:tbl>
    <w:p w14:paraId="1BF8E53A" w14:textId="77777777" w:rsidR="00657CC2" w:rsidRPr="00B63034" w:rsidRDefault="00657CC2" w:rsidP="00F430AB">
      <w:pPr>
        <w:pStyle w:val="BodyText"/>
        <w:numPr>
          <w:ilvl w:val="0"/>
          <w:numId w:val="5"/>
        </w:numPr>
        <w:spacing w:after="120" w:line="360" w:lineRule="auto"/>
        <w:ind w:left="0" w:firstLine="0"/>
        <w:rPr>
          <w:rFonts w:ascii="Arial" w:hAnsi="Arial" w:cs="Arial"/>
          <w:sz w:val="20"/>
          <w:szCs w:val="20"/>
        </w:rPr>
      </w:pPr>
      <w:r w:rsidRPr="00B63034">
        <w:rPr>
          <w:rFonts w:ascii="Arial" w:hAnsi="Arial" w:cs="Arial"/>
          <w:sz w:val="20"/>
        </w:rPr>
        <w:lastRenderedPageBreak/>
        <w:t>Plan for profit distribution and dividend payment in 2024</w:t>
      </w:r>
    </w:p>
    <w:p w14:paraId="367E9FBD" w14:textId="77777777" w:rsidR="00657CC2" w:rsidRPr="00B63034" w:rsidRDefault="00657CC2" w:rsidP="00F430AB">
      <w:pPr>
        <w:pStyle w:val="Tablecaption0"/>
        <w:spacing w:after="120" w:line="360" w:lineRule="auto"/>
        <w:jc w:val="right"/>
        <w:rPr>
          <w:rFonts w:ascii="Arial" w:hAnsi="Arial" w:cs="Arial"/>
          <w:b w:val="0"/>
          <w:bCs w:val="0"/>
          <w:sz w:val="20"/>
          <w:szCs w:val="20"/>
        </w:rPr>
      </w:pPr>
      <w:r w:rsidRPr="00B63034">
        <w:rPr>
          <w:rFonts w:ascii="Arial" w:hAnsi="Arial" w:cs="Arial"/>
          <w:b w:val="0"/>
          <w:sz w:val="20"/>
        </w:rPr>
        <w:t>Unit: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0"/>
        <w:gridCol w:w="4089"/>
        <w:gridCol w:w="3000"/>
        <w:gridCol w:w="1371"/>
      </w:tblGrid>
      <w:tr w:rsidR="00657CC2" w:rsidRPr="00B63034" w14:paraId="6DDAC2E3" w14:textId="77777777" w:rsidTr="00F430AB">
        <w:tc>
          <w:tcPr>
            <w:tcW w:w="305" w:type="pct"/>
            <w:shd w:val="clear" w:color="auto" w:fill="auto"/>
            <w:vAlign w:val="center"/>
          </w:tcPr>
          <w:p w14:paraId="32C2DBF2"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No.</w:t>
            </w:r>
          </w:p>
        </w:tc>
        <w:tc>
          <w:tcPr>
            <w:tcW w:w="2269" w:type="pct"/>
            <w:shd w:val="clear" w:color="auto" w:fill="auto"/>
            <w:vAlign w:val="center"/>
          </w:tcPr>
          <w:p w14:paraId="787C94EC"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Content</w:t>
            </w:r>
          </w:p>
        </w:tc>
        <w:tc>
          <w:tcPr>
            <w:tcW w:w="1665" w:type="pct"/>
            <w:shd w:val="clear" w:color="auto" w:fill="auto"/>
            <w:vAlign w:val="center"/>
          </w:tcPr>
          <w:p w14:paraId="5E6A22E9"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Plan for 2024</w:t>
            </w:r>
          </w:p>
        </w:tc>
        <w:tc>
          <w:tcPr>
            <w:tcW w:w="761" w:type="pct"/>
            <w:shd w:val="clear" w:color="auto" w:fill="auto"/>
            <w:vAlign w:val="center"/>
          </w:tcPr>
          <w:p w14:paraId="28CA242E"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Note</w:t>
            </w:r>
          </w:p>
        </w:tc>
      </w:tr>
      <w:tr w:rsidR="00657CC2" w:rsidRPr="00B63034" w14:paraId="027F6810" w14:textId="77777777" w:rsidTr="00F430AB">
        <w:tc>
          <w:tcPr>
            <w:tcW w:w="305" w:type="pct"/>
            <w:shd w:val="clear" w:color="auto" w:fill="auto"/>
            <w:vAlign w:val="center"/>
          </w:tcPr>
          <w:p w14:paraId="7C7377EC"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1</w:t>
            </w:r>
          </w:p>
        </w:tc>
        <w:tc>
          <w:tcPr>
            <w:tcW w:w="2269" w:type="pct"/>
            <w:shd w:val="clear" w:color="auto" w:fill="auto"/>
            <w:vAlign w:val="center"/>
          </w:tcPr>
          <w:p w14:paraId="74CC8381"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Revenue before tax</w:t>
            </w:r>
          </w:p>
        </w:tc>
        <w:tc>
          <w:tcPr>
            <w:tcW w:w="1665" w:type="pct"/>
            <w:shd w:val="clear" w:color="auto" w:fill="auto"/>
            <w:vAlign w:val="center"/>
          </w:tcPr>
          <w:p w14:paraId="64DDE5EB"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685,000,000,000</w:t>
            </w:r>
          </w:p>
        </w:tc>
        <w:tc>
          <w:tcPr>
            <w:tcW w:w="761" w:type="pct"/>
            <w:shd w:val="clear" w:color="auto" w:fill="auto"/>
            <w:vAlign w:val="center"/>
          </w:tcPr>
          <w:p w14:paraId="2FCA6487" w14:textId="77777777" w:rsidR="00657CC2" w:rsidRPr="00B63034" w:rsidRDefault="00657CC2" w:rsidP="00F430AB">
            <w:pPr>
              <w:spacing w:after="120" w:line="360" w:lineRule="auto"/>
              <w:rPr>
                <w:rFonts w:ascii="Arial" w:hAnsi="Arial" w:cs="Arial"/>
                <w:sz w:val="20"/>
                <w:szCs w:val="20"/>
              </w:rPr>
            </w:pPr>
          </w:p>
        </w:tc>
      </w:tr>
      <w:tr w:rsidR="00657CC2" w:rsidRPr="00B63034" w14:paraId="7A448C95" w14:textId="77777777" w:rsidTr="00F430AB">
        <w:tc>
          <w:tcPr>
            <w:tcW w:w="305" w:type="pct"/>
            <w:shd w:val="clear" w:color="auto" w:fill="auto"/>
            <w:vAlign w:val="center"/>
          </w:tcPr>
          <w:p w14:paraId="6CC7D932"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2</w:t>
            </w:r>
          </w:p>
        </w:tc>
        <w:tc>
          <w:tcPr>
            <w:tcW w:w="2269" w:type="pct"/>
            <w:shd w:val="clear" w:color="auto" w:fill="auto"/>
            <w:vAlign w:val="center"/>
          </w:tcPr>
          <w:p w14:paraId="49E43386"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Profit before tax:</w:t>
            </w:r>
          </w:p>
        </w:tc>
        <w:tc>
          <w:tcPr>
            <w:tcW w:w="1665" w:type="pct"/>
            <w:shd w:val="clear" w:color="auto" w:fill="auto"/>
            <w:vAlign w:val="center"/>
          </w:tcPr>
          <w:p w14:paraId="52997CDC"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68,530,000,000</w:t>
            </w:r>
          </w:p>
        </w:tc>
        <w:tc>
          <w:tcPr>
            <w:tcW w:w="761" w:type="pct"/>
            <w:shd w:val="clear" w:color="auto" w:fill="auto"/>
            <w:vAlign w:val="center"/>
          </w:tcPr>
          <w:p w14:paraId="6557F450" w14:textId="77777777" w:rsidR="00657CC2" w:rsidRPr="00B63034" w:rsidRDefault="00657CC2" w:rsidP="00F430AB">
            <w:pPr>
              <w:spacing w:after="120" w:line="360" w:lineRule="auto"/>
              <w:rPr>
                <w:rFonts w:ascii="Arial" w:hAnsi="Arial" w:cs="Arial"/>
                <w:sz w:val="20"/>
                <w:szCs w:val="20"/>
              </w:rPr>
            </w:pPr>
          </w:p>
        </w:tc>
      </w:tr>
      <w:tr w:rsidR="00657CC2" w:rsidRPr="00B63034" w14:paraId="4DE3AF2F" w14:textId="77777777" w:rsidTr="00F430AB">
        <w:tc>
          <w:tcPr>
            <w:tcW w:w="305" w:type="pct"/>
            <w:shd w:val="clear" w:color="auto" w:fill="auto"/>
            <w:vAlign w:val="center"/>
          </w:tcPr>
          <w:p w14:paraId="32D22312"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3</w:t>
            </w:r>
          </w:p>
        </w:tc>
        <w:tc>
          <w:tcPr>
            <w:tcW w:w="2269" w:type="pct"/>
            <w:shd w:val="clear" w:color="auto" w:fill="auto"/>
            <w:vAlign w:val="center"/>
          </w:tcPr>
          <w:p w14:paraId="42983597"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Corporate income tax (20%)</w:t>
            </w:r>
          </w:p>
        </w:tc>
        <w:tc>
          <w:tcPr>
            <w:tcW w:w="1665" w:type="pct"/>
            <w:shd w:val="clear" w:color="auto" w:fill="auto"/>
            <w:vAlign w:val="center"/>
          </w:tcPr>
          <w:p w14:paraId="644CC9B4"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13,706,000,000</w:t>
            </w:r>
          </w:p>
        </w:tc>
        <w:tc>
          <w:tcPr>
            <w:tcW w:w="761" w:type="pct"/>
            <w:shd w:val="clear" w:color="auto" w:fill="auto"/>
            <w:vAlign w:val="center"/>
          </w:tcPr>
          <w:p w14:paraId="70E2F526" w14:textId="77777777" w:rsidR="00657CC2" w:rsidRPr="00B63034" w:rsidRDefault="00657CC2" w:rsidP="00F430AB">
            <w:pPr>
              <w:spacing w:after="120" w:line="360" w:lineRule="auto"/>
              <w:rPr>
                <w:rFonts w:ascii="Arial" w:hAnsi="Arial" w:cs="Arial"/>
                <w:sz w:val="20"/>
                <w:szCs w:val="20"/>
              </w:rPr>
            </w:pPr>
          </w:p>
        </w:tc>
      </w:tr>
      <w:tr w:rsidR="00657CC2" w:rsidRPr="00B63034" w14:paraId="719AD1A0" w14:textId="77777777" w:rsidTr="00F430AB">
        <w:tc>
          <w:tcPr>
            <w:tcW w:w="305" w:type="pct"/>
            <w:shd w:val="clear" w:color="auto" w:fill="auto"/>
            <w:vAlign w:val="center"/>
          </w:tcPr>
          <w:p w14:paraId="32C48BFF"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4</w:t>
            </w:r>
          </w:p>
        </w:tc>
        <w:tc>
          <w:tcPr>
            <w:tcW w:w="2269" w:type="pct"/>
            <w:shd w:val="clear" w:color="auto" w:fill="auto"/>
            <w:vAlign w:val="center"/>
          </w:tcPr>
          <w:p w14:paraId="393B7B05"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Corporate income tax (excluding expenses)</w:t>
            </w:r>
          </w:p>
        </w:tc>
        <w:tc>
          <w:tcPr>
            <w:tcW w:w="1665" w:type="pct"/>
            <w:shd w:val="clear" w:color="auto" w:fill="auto"/>
            <w:vAlign w:val="center"/>
          </w:tcPr>
          <w:p w14:paraId="39EB504C"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200,000,000</w:t>
            </w:r>
          </w:p>
        </w:tc>
        <w:tc>
          <w:tcPr>
            <w:tcW w:w="761" w:type="pct"/>
            <w:shd w:val="clear" w:color="auto" w:fill="auto"/>
            <w:vAlign w:val="center"/>
          </w:tcPr>
          <w:p w14:paraId="13745984" w14:textId="77777777" w:rsidR="00657CC2" w:rsidRPr="00B63034" w:rsidRDefault="00657CC2" w:rsidP="00F430AB">
            <w:pPr>
              <w:spacing w:after="120" w:line="360" w:lineRule="auto"/>
              <w:rPr>
                <w:rFonts w:ascii="Arial" w:hAnsi="Arial" w:cs="Arial"/>
                <w:sz w:val="20"/>
                <w:szCs w:val="20"/>
              </w:rPr>
            </w:pPr>
          </w:p>
        </w:tc>
      </w:tr>
      <w:tr w:rsidR="00657CC2" w:rsidRPr="00B63034" w14:paraId="608081BF" w14:textId="77777777" w:rsidTr="00F430AB">
        <w:tc>
          <w:tcPr>
            <w:tcW w:w="305" w:type="pct"/>
            <w:shd w:val="clear" w:color="auto" w:fill="auto"/>
            <w:vAlign w:val="center"/>
          </w:tcPr>
          <w:p w14:paraId="5B68DB90"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5</w:t>
            </w:r>
          </w:p>
        </w:tc>
        <w:tc>
          <w:tcPr>
            <w:tcW w:w="2269" w:type="pct"/>
            <w:shd w:val="clear" w:color="auto" w:fill="auto"/>
            <w:vAlign w:val="center"/>
          </w:tcPr>
          <w:p w14:paraId="60BC07A4"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Profit after tax</w:t>
            </w:r>
          </w:p>
        </w:tc>
        <w:tc>
          <w:tcPr>
            <w:tcW w:w="1665" w:type="pct"/>
            <w:shd w:val="clear" w:color="auto" w:fill="auto"/>
            <w:vAlign w:val="center"/>
          </w:tcPr>
          <w:p w14:paraId="287E00BC"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54,624,000,000</w:t>
            </w:r>
          </w:p>
        </w:tc>
        <w:tc>
          <w:tcPr>
            <w:tcW w:w="761" w:type="pct"/>
            <w:shd w:val="clear" w:color="auto" w:fill="auto"/>
            <w:vAlign w:val="center"/>
          </w:tcPr>
          <w:p w14:paraId="04EF0431" w14:textId="77777777" w:rsidR="00657CC2" w:rsidRPr="00B63034" w:rsidRDefault="00657CC2" w:rsidP="00F430AB">
            <w:pPr>
              <w:spacing w:after="120" w:line="360" w:lineRule="auto"/>
              <w:rPr>
                <w:rFonts w:ascii="Arial" w:hAnsi="Arial" w:cs="Arial"/>
                <w:sz w:val="20"/>
                <w:szCs w:val="20"/>
              </w:rPr>
            </w:pPr>
          </w:p>
        </w:tc>
      </w:tr>
      <w:tr w:rsidR="00657CC2" w:rsidRPr="00B63034" w14:paraId="703A8DA5" w14:textId="77777777" w:rsidTr="00F430AB">
        <w:tc>
          <w:tcPr>
            <w:tcW w:w="305" w:type="pct"/>
            <w:shd w:val="clear" w:color="auto" w:fill="auto"/>
            <w:vAlign w:val="center"/>
          </w:tcPr>
          <w:p w14:paraId="3CFE7433"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6</w:t>
            </w:r>
          </w:p>
        </w:tc>
        <w:tc>
          <w:tcPr>
            <w:tcW w:w="2269" w:type="pct"/>
            <w:shd w:val="clear" w:color="auto" w:fill="auto"/>
            <w:vAlign w:val="center"/>
          </w:tcPr>
          <w:p w14:paraId="08BC8D04"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Appropriation for funds</w:t>
            </w:r>
          </w:p>
        </w:tc>
        <w:tc>
          <w:tcPr>
            <w:tcW w:w="1665" w:type="pct"/>
            <w:shd w:val="clear" w:color="auto" w:fill="auto"/>
            <w:vAlign w:val="center"/>
          </w:tcPr>
          <w:p w14:paraId="447A86AE"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27,265,130,000</w:t>
            </w:r>
          </w:p>
        </w:tc>
        <w:tc>
          <w:tcPr>
            <w:tcW w:w="761" w:type="pct"/>
            <w:shd w:val="clear" w:color="auto" w:fill="auto"/>
            <w:vAlign w:val="center"/>
          </w:tcPr>
          <w:p w14:paraId="2B8D8BD7" w14:textId="77777777" w:rsidR="00657CC2" w:rsidRPr="00B63034" w:rsidRDefault="00657CC2" w:rsidP="00F430AB">
            <w:pPr>
              <w:spacing w:after="120" w:line="360" w:lineRule="auto"/>
              <w:rPr>
                <w:rFonts w:ascii="Arial" w:hAnsi="Arial" w:cs="Arial"/>
                <w:sz w:val="20"/>
                <w:szCs w:val="20"/>
              </w:rPr>
            </w:pPr>
          </w:p>
        </w:tc>
      </w:tr>
      <w:tr w:rsidR="00657CC2" w:rsidRPr="00B63034" w14:paraId="5186FD91" w14:textId="77777777" w:rsidTr="00F430AB">
        <w:tc>
          <w:tcPr>
            <w:tcW w:w="305" w:type="pct"/>
            <w:shd w:val="clear" w:color="auto" w:fill="auto"/>
            <w:vAlign w:val="center"/>
          </w:tcPr>
          <w:p w14:paraId="1158EB48" w14:textId="77777777" w:rsidR="00657CC2" w:rsidRPr="00B63034" w:rsidRDefault="00657CC2" w:rsidP="00F430AB">
            <w:pPr>
              <w:spacing w:after="120" w:line="360" w:lineRule="auto"/>
              <w:rPr>
                <w:rFonts w:ascii="Arial" w:hAnsi="Arial" w:cs="Arial"/>
                <w:sz w:val="20"/>
                <w:szCs w:val="20"/>
              </w:rPr>
            </w:pPr>
          </w:p>
        </w:tc>
        <w:tc>
          <w:tcPr>
            <w:tcW w:w="2269" w:type="pct"/>
            <w:shd w:val="clear" w:color="auto" w:fill="auto"/>
            <w:vAlign w:val="center"/>
          </w:tcPr>
          <w:p w14:paraId="1B46D1D8"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 investment and development fund</w:t>
            </w:r>
          </w:p>
        </w:tc>
        <w:tc>
          <w:tcPr>
            <w:tcW w:w="1665" w:type="pct"/>
            <w:shd w:val="clear" w:color="auto" w:fill="auto"/>
            <w:vAlign w:val="center"/>
          </w:tcPr>
          <w:p w14:paraId="06ED1726"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16,387,200,000</w:t>
            </w:r>
          </w:p>
        </w:tc>
        <w:tc>
          <w:tcPr>
            <w:tcW w:w="761" w:type="pct"/>
            <w:shd w:val="clear" w:color="auto" w:fill="auto"/>
            <w:vAlign w:val="center"/>
          </w:tcPr>
          <w:p w14:paraId="509DD1D0" w14:textId="77777777" w:rsidR="00657CC2" w:rsidRPr="00B63034" w:rsidRDefault="00657CC2" w:rsidP="00F430AB">
            <w:pPr>
              <w:spacing w:after="120" w:line="360" w:lineRule="auto"/>
              <w:rPr>
                <w:rFonts w:ascii="Arial" w:hAnsi="Arial" w:cs="Arial"/>
                <w:sz w:val="20"/>
                <w:szCs w:val="20"/>
              </w:rPr>
            </w:pPr>
          </w:p>
        </w:tc>
      </w:tr>
      <w:tr w:rsidR="00657CC2" w:rsidRPr="00B63034" w14:paraId="7DD4F36B" w14:textId="77777777" w:rsidTr="00F430AB">
        <w:tc>
          <w:tcPr>
            <w:tcW w:w="305" w:type="pct"/>
            <w:shd w:val="clear" w:color="auto" w:fill="auto"/>
            <w:vAlign w:val="center"/>
          </w:tcPr>
          <w:p w14:paraId="42BA77D2" w14:textId="77777777" w:rsidR="00657CC2" w:rsidRPr="00B63034" w:rsidRDefault="00657CC2" w:rsidP="00F430AB">
            <w:pPr>
              <w:spacing w:after="120" w:line="360" w:lineRule="auto"/>
              <w:rPr>
                <w:rFonts w:ascii="Arial" w:hAnsi="Arial" w:cs="Arial"/>
                <w:sz w:val="20"/>
                <w:szCs w:val="20"/>
              </w:rPr>
            </w:pPr>
          </w:p>
        </w:tc>
        <w:tc>
          <w:tcPr>
            <w:tcW w:w="2269" w:type="pct"/>
            <w:shd w:val="clear" w:color="auto" w:fill="auto"/>
            <w:vAlign w:val="center"/>
          </w:tcPr>
          <w:p w14:paraId="06938C75"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 Bonus and welfare fund</w:t>
            </w:r>
          </w:p>
        </w:tc>
        <w:tc>
          <w:tcPr>
            <w:tcW w:w="1665" w:type="pct"/>
            <w:shd w:val="clear" w:color="auto" w:fill="auto"/>
            <w:vAlign w:val="center"/>
          </w:tcPr>
          <w:p w14:paraId="65801DD2"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10,483,055,000</w:t>
            </w:r>
          </w:p>
        </w:tc>
        <w:tc>
          <w:tcPr>
            <w:tcW w:w="761" w:type="pct"/>
            <w:shd w:val="clear" w:color="auto" w:fill="auto"/>
            <w:vAlign w:val="center"/>
          </w:tcPr>
          <w:p w14:paraId="7F04FFC4" w14:textId="77777777" w:rsidR="00657CC2" w:rsidRPr="00B63034" w:rsidRDefault="00657CC2" w:rsidP="00F430AB">
            <w:pPr>
              <w:spacing w:after="120" w:line="360" w:lineRule="auto"/>
              <w:rPr>
                <w:rFonts w:ascii="Arial" w:hAnsi="Arial" w:cs="Arial"/>
                <w:sz w:val="20"/>
                <w:szCs w:val="20"/>
              </w:rPr>
            </w:pPr>
          </w:p>
        </w:tc>
      </w:tr>
      <w:tr w:rsidR="00657CC2" w:rsidRPr="00B63034" w14:paraId="3C52DB9C" w14:textId="77777777" w:rsidTr="00F430AB">
        <w:tc>
          <w:tcPr>
            <w:tcW w:w="305" w:type="pct"/>
            <w:shd w:val="clear" w:color="auto" w:fill="auto"/>
            <w:vAlign w:val="center"/>
          </w:tcPr>
          <w:p w14:paraId="6D8B3B64" w14:textId="77777777" w:rsidR="00657CC2" w:rsidRPr="00B63034" w:rsidRDefault="00657CC2" w:rsidP="00F430AB">
            <w:pPr>
              <w:spacing w:after="120" w:line="360" w:lineRule="auto"/>
              <w:rPr>
                <w:rFonts w:ascii="Arial" w:hAnsi="Arial" w:cs="Arial"/>
                <w:sz w:val="20"/>
                <w:szCs w:val="20"/>
              </w:rPr>
            </w:pPr>
          </w:p>
        </w:tc>
        <w:tc>
          <w:tcPr>
            <w:tcW w:w="2269" w:type="pct"/>
            <w:shd w:val="clear" w:color="auto" w:fill="auto"/>
            <w:vAlign w:val="center"/>
          </w:tcPr>
          <w:p w14:paraId="11725E59"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 Manager Bonus Fund</w:t>
            </w:r>
          </w:p>
        </w:tc>
        <w:tc>
          <w:tcPr>
            <w:tcW w:w="1665" w:type="pct"/>
            <w:shd w:val="clear" w:color="auto" w:fill="auto"/>
            <w:vAlign w:val="center"/>
          </w:tcPr>
          <w:p w14:paraId="6B9A28E9"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394,875,000</w:t>
            </w:r>
          </w:p>
        </w:tc>
        <w:tc>
          <w:tcPr>
            <w:tcW w:w="761" w:type="pct"/>
            <w:shd w:val="clear" w:color="auto" w:fill="auto"/>
            <w:vAlign w:val="center"/>
          </w:tcPr>
          <w:p w14:paraId="142075C6" w14:textId="77777777" w:rsidR="00657CC2" w:rsidRPr="00B63034" w:rsidRDefault="00657CC2" w:rsidP="00F430AB">
            <w:pPr>
              <w:spacing w:after="120" w:line="360" w:lineRule="auto"/>
              <w:rPr>
                <w:rFonts w:ascii="Arial" w:hAnsi="Arial" w:cs="Arial"/>
                <w:sz w:val="20"/>
                <w:szCs w:val="20"/>
              </w:rPr>
            </w:pPr>
          </w:p>
        </w:tc>
      </w:tr>
      <w:tr w:rsidR="00657CC2" w:rsidRPr="00B63034" w14:paraId="68015B46" w14:textId="77777777" w:rsidTr="00F430AB">
        <w:tc>
          <w:tcPr>
            <w:tcW w:w="305" w:type="pct"/>
            <w:shd w:val="clear" w:color="auto" w:fill="auto"/>
            <w:vAlign w:val="center"/>
          </w:tcPr>
          <w:p w14:paraId="51BFCFBB"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7</w:t>
            </w:r>
          </w:p>
        </w:tc>
        <w:tc>
          <w:tcPr>
            <w:tcW w:w="2269" w:type="pct"/>
            <w:shd w:val="clear" w:color="auto" w:fill="auto"/>
            <w:vAlign w:val="center"/>
          </w:tcPr>
          <w:p w14:paraId="46910D87"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Undistributed profit after tax</w:t>
            </w:r>
          </w:p>
        </w:tc>
        <w:tc>
          <w:tcPr>
            <w:tcW w:w="1665" w:type="pct"/>
            <w:shd w:val="clear" w:color="auto" w:fill="auto"/>
            <w:vAlign w:val="center"/>
          </w:tcPr>
          <w:p w14:paraId="45C0D0A8"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1,160,000,000</w:t>
            </w:r>
          </w:p>
        </w:tc>
        <w:tc>
          <w:tcPr>
            <w:tcW w:w="761" w:type="pct"/>
            <w:shd w:val="clear" w:color="auto" w:fill="auto"/>
            <w:vAlign w:val="center"/>
          </w:tcPr>
          <w:p w14:paraId="111183FE" w14:textId="77777777" w:rsidR="00657CC2" w:rsidRPr="00B63034" w:rsidRDefault="00657CC2" w:rsidP="00F430AB">
            <w:pPr>
              <w:spacing w:after="120" w:line="360" w:lineRule="auto"/>
              <w:rPr>
                <w:rFonts w:ascii="Arial" w:hAnsi="Arial" w:cs="Arial"/>
                <w:sz w:val="20"/>
                <w:szCs w:val="20"/>
              </w:rPr>
            </w:pPr>
          </w:p>
        </w:tc>
      </w:tr>
      <w:tr w:rsidR="00657CC2" w:rsidRPr="00B63034" w14:paraId="0E90ACF9" w14:textId="77777777" w:rsidTr="00F430AB">
        <w:tc>
          <w:tcPr>
            <w:tcW w:w="305" w:type="pct"/>
            <w:shd w:val="clear" w:color="auto" w:fill="auto"/>
            <w:vAlign w:val="center"/>
          </w:tcPr>
          <w:p w14:paraId="17176885"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8</w:t>
            </w:r>
          </w:p>
        </w:tc>
        <w:tc>
          <w:tcPr>
            <w:tcW w:w="2269" w:type="pct"/>
            <w:shd w:val="clear" w:color="auto" w:fill="auto"/>
            <w:vAlign w:val="center"/>
          </w:tcPr>
          <w:p w14:paraId="781172DB" w14:textId="77777777" w:rsidR="00657CC2" w:rsidRPr="00B63034" w:rsidRDefault="00657CC2" w:rsidP="00F430AB">
            <w:pPr>
              <w:pStyle w:val="Other0"/>
              <w:spacing w:after="120" w:line="360" w:lineRule="auto"/>
              <w:rPr>
                <w:rFonts w:ascii="Arial" w:hAnsi="Arial" w:cs="Arial"/>
                <w:sz w:val="20"/>
                <w:szCs w:val="20"/>
              </w:rPr>
            </w:pPr>
            <w:r w:rsidRPr="00B63034">
              <w:rPr>
                <w:rFonts w:ascii="Arial" w:hAnsi="Arial" w:cs="Arial"/>
                <w:sz w:val="20"/>
              </w:rPr>
              <w:t>Dividend payment rate: 17%</w:t>
            </w:r>
          </w:p>
        </w:tc>
        <w:tc>
          <w:tcPr>
            <w:tcW w:w="1665" w:type="pct"/>
            <w:shd w:val="clear" w:color="auto" w:fill="auto"/>
            <w:vAlign w:val="center"/>
          </w:tcPr>
          <w:p w14:paraId="507032C5" w14:textId="77777777" w:rsidR="00657CC2" w:rsidRPr="00B63034" w:rsidRDefault="00657CC2" w:rsidP="00F430AB">
            <w:pPr>
              <w:pStyle w:val="Other0"/>
              <w:spacing w:after="120" w:line="360" w:lineRule="auto"/>
              <w:jc w:val="right"/>
              <w:rPr>
                <w:rFonts w:ascii="Arial" w:hAnsi="Arial" w:cs="Arial"/>
                <w:sz w:val="20"/>
                <w:szCs w:val="20"/>
              </w:rPr>
            </w:pPr>
            <w:r w:rsidRPr="00B63034">
              <w:rPr>
                <w:rFonts w:ascii="Arial" w:hAnsi="Arial" w:cs="Arial"/>
                <w:sz w:val="20"/>
              </w:rPr>
              <w:t>26,198,870,000</w:t>
            </w:r>
          </w:p>
        </w:tc>
        <w:tc>
          <w:tcPr>
            <w:tcW w:w="761" w:type="pct"/>
            <w:shd w:val="clear" w:color="auto" w:fill="auto"/>
            <w:vAlign w:val="center"/>
          </w:tcPr>
          <w:p w14:paraId="7B58891A" w14:textId="77777777" w:rsidR="00657CC2" w:rsidRPr="00B63034" w:rsidRDefault="00657CC2" w:rsidP="00F430AB">
            <w:pPr>
              <w:spacing w:after="120" w:line="360" w:lineRule="auto"/>
              <w:rPr>
                <w:rFonts w:ascii="Arial" w:hAnsi="Arial" w:cs="Arial"/>
                <w:sz w:val="20"/>
                <w:szCs w:val="20"/>
              </w:rPr>
            </w:pPr>
          </w:p>
        </w:tc>
      </w:tr>
    </w:tbl>
    <w:p w14:paraId="35E1D5C0" w14:textId="02F3CB3D" w:rsidR="00F54CC4" w:rsidRPr="00B63034"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‎‎Article 7. Approv</w:t>
      </w:r>
      <w:r w:rsidR="000A60F8" w:rsidRPr="00B63034">
        <w:rPr>
          <w:rFonts w:ascii="Arial" w:hAnsi="Arial" w:cs="Arial"/>
          <w:sz w:val="20"/>
        </w:rPr>
        <w:t>e</w:t>
      </w:r>
      <w:r w:rsidRPr="00B63034">
        <w:rPr>
          <w:rFonts w:ascii="Arial" w:hAnsi="Arial" w:cs="Arial"/>
          <w:sz w:val="20"/>
        </w:rPr>
        <w:t xml:space="preserve"> the proposal on remuneration for the Board of Directors and Supervisory Board in 2023 and expected remuneration for members of the Board of Directors and Supervisory Board in 2024</w:t>
      </w:r>
    </w:p>
    <w:p w14:paraId="73B7D7D8" w14:textId="77777777" w:rsidR="000A60F8" w:rsidRPr="00B63034" w:rsidRDefault="00657CC2" w:rsidP="00F430AB">
      <w:pPr>
        <w:pBdr>
          <w:top w:val="nil"/>
          <w:left w:val="nil"/>
          <w:bottom w:val="nil"/>
          <w:right w:val="nil"/>
          <w:between w:val="nil"/>
        </w:pBdr>
        <w:tabs>
          <w:tab w:val="left" w:pos="2882"/>
        </w:tabs>
        <w:spacing w:after="120" w:line="360" w:lineRule="auto"/>
        <w:jc w:val="both"/>
        <w:rPr>
          <w:rFonts w:ascii="Arial" w:hAnsi="Arial" w:cs="Arial"/>
          <w:sz w:val="20"/>
        </w:rPr>
      </w:pPr>
      <w:r w:rsidRPr="00B63034">
        <w:rPr>
          <w:rFonts w:ascii="Arial" w:hAnsi="Arial" w:cs="Arial"/>
          <w:sz w:val="20"/>
        </w:rPr>
        <w:t xml:space="preserve">‎‎Article 8. Terms enforcement: </w:t>
      </w:r>
    </w:p>
    <w:p w14:paraId="33D1F367" w14:textId="78BA4830" w:rsidR="00F54CC4" w:rsidRPr="00B63034" w:rsidRDefault="00657CC2" w:rsidP="00F430AB">
      <w:pPr>
        <w:pBdr>
          <w:top w:val="nil"/>
          <w:left w:val="nil"/>
          <w:bottom w:val="nil"/>
          <w:right w:val="nil"/>
          <w:between w:val="nil"/>
        </w:pBdr>
        <w:tabs>
          <w:tab w:val="left" w:pos="2882"/>
        </w:tabs>
        <w:spacing w:after="120" w:line="360" w:lineRule="auto"/>
        <w:jc w:val="both"/>
        <w:rPr>
          <w:rFonts w:ascii="Arial" w:eastAsia="Arial" w:hAnsi="Arial" w:cs="Arial"/>
          <w:sz w:val="20"/>
          <w:szCs w:val="20"/>
        </w:rPr>
      </w:pPr>
      <w:r w:rsidRPr="00B63034">
        <w:rPr>
          <w:rFonts w:ascii="Arial" w:hAnsi="Arial" w:cs="Arial"/>
          <w:sz w:val="20"/>
        </w:rPr>
        <w:t xml:space="preserve">This </w:t>
      </w:r>
      <w:r w:rsidR="000A60F8" w:rsidRPr="00B63034">
        <w:rPr>
          <w:rFonts w:ascii="Arial" w:hAnsi="Arial" w:cs="Arial"/>
          <w:sz w:val="20"/>
        </w:rPr>
        <w:t>General Mandate</w:t>
      </w:r>
      <w:r w:rsidRPr="00B63034">
        <w:rPr>
          <w:rFonts w:ascii="Arial" w:hAnsi="Arial" w:cs="Arial"/>
          <w:sz w:val="20"/>
        </w:rPr>
        <w:t xml:space="preserve"> takes effect from April 19, 2024.</w:t>
      </w:r>
    </w:p>
    <w:p w14:paraId="2366B1AE" w14:textId="796EC6F2" w:rsidR="00F54CC4" w:rsidRPr="00F430AB" w:rsidRDefault="00657CC2" w:rsidP="00F430AB">
      <w:pPr>
        <w:pBdr>
          <w:top w:val="nil"/>
          <w:left w:val="nil"/>
          <w:bottom w:val="nil"/>
          <w:right w:val="nil"/>
          <w:between w:val="nil"/>
        </w:pBdr>
        <w:spacing w:after="120" w:line="360" w:lineRule="auto"/>
        <w:jc w:val="both"/>
        <w:rPr>
          <w:rFonts w:ascii="Arial" w:eastAsia="Arial" w:hAnsi="Arial" w:cs="Arial"/>
          <w:sz w:val="20"/>
          <w:szCs w:val="20"/>
        </w:rPr>
      </w:pPr>
      <w:r w:rsidRPr="00B63034">
        <w:rPr>
          <w:rFonts w:ascii="Arial" w:hAnsi="Arial" w:cs="Arial"/>
          <w:sz w:val="20"/>
        </w:rPr>
        <w:t>The General Meeting of Shareholders assigned the Board of Directors to implement contents approved at the General Meeting, ensuring the best interests of the Company and its shareholders, in accordance with the Company’s Charter and provisions of law.</w:t>
      </w:r>
    </w:p>
    <w:sectPr w:rsidR="00F54CC4" w:rsidRPr="00F430AB" w:rsidSect="00F430AB">
      <w:pgSz w:w="11900"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481"/>
    <w:multiLevelType w:val="hybridMultilevel"/>
    <w:tmpl w:val="0084164C"/>
    <w:lvl w:ilvl="0" w:tplc="23967AB8">
      <w:start w:val="1"/>
      <w:numFmt w:val="lowerLetter"/>
      <w:lvlText w:val="%1)"/>
      <w:lvlJc w:val="left"/>
      <w:pPr>
        <w:ind w:left="2430" w:hanging="360"/>
      </w:pPr>
      <w:rPr>
        <w:b w:val="0"/>
        <w:i w:val="0"/>
        <w:sz w:val="20"/>
      </w:rPr>
    </w:lvl>
    <w:lvl w:ilvl="1" w:tplc="2DE4EEF0" w:tentative="1">
      <w:start w:val="1"/>
      <w:numFmt w:val="lowerLetter"/>
      <w:lvlText w:val="%2."/>
      <w:lvlJc w:val="left"/>
      <w:pPr>
        <w:ind w:left="3150" w:hanging="360"/>
      </w:pPr>
      <w:rPr>
        <w:b w:val="0"/>
        <w:i w:val="0"/>
        <w:sz w:val="20"/>
      </w:rPr>
    </w:lvl>
    <w:lvl w:ilvl="2" w:tplc="D174FC2C" w:tentative="1">
      <w:start w:val="1"/>
      <w:numFmt w:val="lowerRoman"/>
      <w:lvlText w:val="%3."/>
      <w:lvlJc w:val="right"/>
      <w:pPr>
        <w:ind w:left="3870" w:hanging="180"/>
      </w:pPr>
      <w:rPr>
        <w:b w:val="0"/>
        <w:i w:val="0"/>
        <w:sz w:val="20"/>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2532D6C"/>
    <w:multiLevelType w:val="hybridMultilevel"/>
    <w:tmpl w:val="4D9CDCD6"/>
    <w:lvl w:ilvl="0" w:tplc="042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7C19"/>
    <w:multiLevelType w:val="hybridMultilevel"/>
    <w:tmpl w:val="2B06F3F8"/>
    <w:lvl w:ilvl="0" w:tplc="CE22A788">
      <w:start w:val="1"/>
      <w:numFmt w:val="bullet"/>
      <w:lvlRestart w:val="0"/>
      <w:lvlText w:val="+"/>
      <w:lvlJc w:val="left"/>
      <w:pPr>
        <w:ind w:left="0" w:firstLine="0"/>
      </w:pPr>
      <w:rPr>
        <w:rFonts w:ascii="Arial" w:hAnsi="Arial" w:cs="Arial" w:hint="default"/>
        <w:b w:val="0"/>
        <w:i w:val="0"/>
        <w:sz w:val="20"/>
      </w:rPr>
    </w:lvl>
    <w:lvl w:ilvl="1" w:tplc="F4E48E16" w:tentative="1">
      <w:start w:val="1"/>
      <w:numFmt w:val="bullet"/>
      <w:lvlText w:val="o"/>
      <w:lvlJc w:val="left"/>
      <w:pPr>
        <w:ind w:left="1440" w:hanging="360"/>
      </w:pPr>
      <w:rPr>
        <w:rFonts w:ascii="Courier New" w:hAnsi="Courier New" w:cs="Courier New" w:hint="default"/>
        <w:b w:val="0"/>
        <w:i w:val="0"/>
        <w:sz w:val="20"/>
      </w:rPr>
    </w:lvl>
    <w:lvl w:ilvl="2" w:tplc="1EE0E4FA"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A34454D"/>
    <w:multiLevelType w:val="hybridMultilevel"/>
    <w:tmpl w:val="FF146098"/>
    <w:lvl w:ilvl="0" w:tplc="D180A840">
      <w:start w:val="1"/>
      <w:numFmt w:val="bullet"/>
      <w:lvlRestart w:val="0"/>
      <w:lvlText w:val="+"/>
      <w:lvlJc w:val="left"/>
      <w:pPr>
        <w:ind w:left="0" w:firstLine="0"/>
      </w:pPr>
      <w:rPr>
        <w:rFonts w:ascii="Arial" w:hAnsi="Arial" w:cs="Arial" w:hint="default"/>
        <w:b w:val="0"/>
        <w:i w:val="0"/>
        <w:sz w:val="20"/>
      </w:rPr>
    </w:lvl>
    <w:lvl w:ilvl="1" w:tplc="6A50DD10" w:tentative="1">
      <w:start w:val="1"/>
      <w:numFmt w:val="bullet"/>
      <w:lvlText w:val="o"/>
      <w:lvlJc w:val="left"/>
      <w:pPr>
        <w:ind w:left="1440" w:hanging="360"/>
      </w:pPr>
      <w:rPr>
        <w:rFonts w:ascii="Courier New" w:hAnsi="Courier New" w:cs="Courier New" w:hint="default"/>
        <w:b w:val="0"/>
        <w:i w:val="0"/>
        <w:sz w:val="20"/>
      </w:rPr>
    </w:lvl>
    <w:lvl w:ilvl="2" w:tplc="1AC444B8"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BD42486"/>
    <w:multiLevelType w:val="multilevel"/>
    <w:tmpl w:val="ABDA6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51820"/>
    <w:multiLevelType w:val="multilevel"/>
    <w:tmpl w:val="9A320578"/>
    <w:lvl w:ilvl="0">
      <w:start w:val="1"/>
      <w:numFmt w:val="decimal"/>
      <w:lvlText w:val="%1."/>
      <w:lvlJc w:val="left"/>
      <w:pPr>
        <w:ind w:left="720" w:hanging="72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06537D"/>
    <w:multiLevelType w:val="hybridMultilevel"/>
    <w:tmpl w:val="08D63816"/>
    <w:lvl w:ilvl="0" w:tplc="042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315B8"/>
    <w:multiLevelType w:val="hybridMultilevel"/>
    <w:tmpl w:val="AFB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30F37"/>
    <w:multiLevelType w:val="hybridMultilevel"/>
    <w:tmpl w:val="BFA4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33CC1"/>
    <w:multiLevelType w:val="multilevel"/>
    <w:tmpl w:val="8C145B6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9"/>
  </w:num>
  <w:num w:numId="3">
    <w:abstractNumId w:val="7"/>
  </w:num>
  <w:num w:numId="4">
    <w:abstractNumId w:val="4"/>
  </w:num>
  <w:num w:numId="5">
    <w:abstractNumId w:val="0"/>
  </w:num>
  <w:num w:numId="6">
    <w:abstractNumId w:val="6"/>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C4"/>
    <w:rsid w:val="000A60F8"/>
    <w:rsid w:val="00150FFA"/>
    <w:rsid w:val="003E381F"/>
    <w:rsid w:val="00657CC2"/>
    <w:rsid w:val="009B51C5"/>
    <w:rsid w:val="00B63034"/>
    <w:rsid w:val="00CC563C"/>
    <w:rsid w:val="00F430AB"/>
    <w:rsid w:val="00F54CC4"/>
    <w:rsid w:val="00F9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6545"/>
  <w15:docId w15:val="{2A9480BD-91B6-4550-9858-4746E865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F18487"/>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30">
    <w:name w:val="Body text (3)"/>
    <w:basedOn w:val="Normal"/>
    <w:link w:val="Bodytext3"/>
    <w:pPr>
      <w:spacing w:after="50"/>
    </w:pPr>
    <w:rPr>
      <w:rFonts w:ascii="Times New Roman" w:eastAsia="Times New Roman" w:hAnsi="Times New Roman" w:cs="Times New Roman"/>
      <w:color w:val="FF0000"/>
      <w:sz w:val="17"/>
      <w:szCs w:val="17"/>
    </w:rPr>
  </w:style>
  <w:style w:type="paragraph" w:styleId="BodyText">
    <w:name w:val="Body Text"/>
    <w:basedOn w:val="Normal"/>
    <w:link w:val="BodyTextChar"/>
    <w:qFormat/>
    <w:pPr>
      <w:spacing w:after="100"/>
    </w:pPr>
    <w:rPr>
      <w:rFonts w:ascii="Times New Roman" w:eastAsia="Times New Roman" w:hAnsi="Times New Roman" w:cs="Times New Roman"/>
      <w:sz w:val="26"/>
      <w:szCs w:val="26"/>
    </w:rPr>
  </w:style>
  <w:style w:type="paragraph" w:customStyle="1" w:styleId="Bodytext50">
    <w:name w:val="Body text (5)"/>
    <w:basedOn w:val="Normal"/>
    <w:link w:val="Bodytext5"/>
    <w:pPr>
      <w:jc w:val="right"/>
    </w:pPr>
    <w:rPr>
      <w:rFonts w:ascii="Arial" w:eastAsia="Arial" w:hAnsi="Arial" w:cs="Arial"/>
      <w:color w:val="F18487"/>
      <w:sz w:val="15"/>
      <w:szCs w:val="15"/>
    </w:rPr>
  </w:style>
  <w:style w:type="paragraph" w:customStyle="1" w:styleId="Heading11">
    <w:name w:val="Heading #1"/>
    <w:basedOn w:val="Normal"/>
    <w:link w:val="Heading10"/>
    <w:pPr>
      <w:spacing w:after="90"/>
      <w:ind w:left="231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after="40"/>
    </w:pPr>
    <w:rPr>
      <w:rFonts w:ascii="Times New Roman" w:eastAsia="Times New Roman" w:hAnsi="Times New Roman" w:cs="Times New Roman"/>
      <w:color w:val="FF0000"/>
      <w:sz w:val="10"/>
      <w:szCs w:val="10"/>
    </w:rPr>
  </w:style>
  <w:style w:type="paragraph" w:customStyle="1" w:styleId="Bodytext60">
    <w:name w:val="Body text (6)"/>
    <w:basedOn w:val="Normal"/>
    <w:link w:val="Bodytext6"/>
    <w:pPr>
      <w:spacing w:after="100" w:line="180" w:lineRule="auto"/>
      <w:ind w:left="3680"/>
    </w:pPr>
    <w:rPr>
      <w:rFonts w:ascii="Arial" w:eastAsia="Arial" w:hAnsi="Arial" w:cs="Arial"/>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after="100"/>
    </w:pPr>
    <w:rPr>
      <w:rFonts w:ascii="Times New Roman" w:eastAsia="Times New Roman" w:hAnsi="Times New Roman" w:cs="Times New Roman"/>
      <w:sz w:val="26"/>
      <w:szCs w:val="26"/>
    </w:rPr>
  </w:style>
  <w:style w:type="paragraph" w:customStyle="1" w:styleId="Bodytext20">
    <w:name w:val="Body text (2)"/>
    <w:basedOn w:val="Normal"/>
    <w:link w:val="Bodytext2"/>
    <w:pPr>
      <w:ind w:left="188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60597F"/>
    <w:pPr>
      <w:tabs>
        <w:tab w:val="center" w:pos="4680"/>
        <w:tab w:val="right" w:pos="9360"/>
      </w:tabs>
    </w:pPr>
  </w:style>
  <w:style w:type="character" w:customStyle="1" w:styleId="HeaderChar">
    <w:name w:val="Header Char"/>
    <w:basedOn w:val="DefaultParagraphFont"/>
    <w:link w:val="Header"/>
    <w:uiPriority w:val="99"/>
    <w:rsid w:val="0060597F"/>
    <w:rPr>
      <w:color w:val="000000"/>
    </w:rPr>
  </w:style>
  <w:style w:type="paragraph" w:styleId="Footer">
    <w:name w:val="footer"/>
    <w:basedOn w:val="Normal"/>
    <w:link w:val="FooterChar"/>
    <w:uiPriority w:val="99"/>
    <w:unhideWhenUsed/>
    <w:rsid w:val="0060597F"/>
    <w:pPr>
      <w:tabs>
        <w:tab w:val="center" w:pos="4680"/>
        <w:tab w:val="right" w:pos="9360"/>
      </w:tabs>
    </w:pPr>
  </w:style>
  <w:style w:type="character" w:customStyle="1" w:styleId="FooterChar">
    <w:name w:val="Footer Char"/>
    <w:basedOn w:val="DefaultParagraphFont"/>
    <w:link w:val="Footer"/>
    <w:uiPriority w:val="99"/>
    <w:rsid w:val="0060597F"/>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C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gEOAjKfWNiUXun0dH2Eska2NHA==">CgMxLjA4AHIhMXRucnNzU3JGX3FLTmZVTVhfakdiTFpNcWZQa0lOUlZ5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Trinh Ha Phuong</cp:lastModifiedBy>
  <cp:revision>6</cp:revision>
  <dcterms:created xsi:type="dcterms:W3CDTF">2024-04-25T07:13:00Z</dcterms:created>
  <dcterms:modified xsi:type="dcterms:W3CDTF">2024-04-26T10:43:00Z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a13230474693b8986acab4d07c6e81500087ad9b26ba952b9f2eef6d5952e472</vt:lpwstr>
  </property>
</Properties>
</file>