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2C4A3" w14:textId="77777777" w:rsidR="00D17CC9" w:rsidRPr="00F17D8D" w:rsidRDefault="002535CC" w:rsidP="00F863E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b/>
          <w:color w:val="010000"/>
          <w:sz w:val="20"/>
          <w:szCs w:val="20"/>
        </w:rPr>
      </w:pPr>
      <w:r w:rsidRPr="00F17D8D">
        <w:rPr>
          <w:rFonts w:ascii="Arial" w:hAnsi="Arial" w:cs="Arial"/>
          <w:b/>
          <w:color w:val="010000"/>
          <w:sz w:val="20"/>
        </w:rPr>
        <w:t>DPP: Annual General Mandate 2024</w:t>
      </w:r>
    </w:p>
    <w:p w14:paraId="451E62C7" w14:textId="77777777" w:rsidR="00D17CC9" w:rsidRPr="00F17D8D" w:rsidRDefault="002535CC" w:rsidP="00F863E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17D8D">
        <w:rPr>
          <w:rFonts w:ascii="Arial" w:hAnsi="Arial" w:cs="Arial"/>
          <w:color w:val="010000"/>
          <w:sz w:val="20"/>
        </w:rPr>
        <w:t xml:space="preserve">On April 22, 2024, Dong </w:t>
      </w:r>
      <w:proofErr w:type="spellStart"/>
      <w:r w:rsidRPr="00F17D8D">
        <w:rPr>
          <w:rFonts w:ascii="Arial" w:hAnsi="Arial" w:cs="Arial"/>
          <w:color w:val="010000"/>
          <w:sz w:val="20"/>
        </w:rPr>
        <w:t>Nai</w:t>
      </w:r>
      <w:proofErr w:type="spellEnd"/>
      <w:r w:rsidRPr="00F17D8D">
        <w:rPr>
          <w:rFonts w:ascii="Arial" w:hAnsi="Arial" w:cs="Arial"/>
          <w:color w:val="010000"/>
          <w:sz w:val="20"/>
        </w:rPr>
        <w:t xml:space="preserve"> Pharmaceutical Joint Stock Company announced General Mandate No. 04/NQ-DHDCD as follows:</w:t>
      </w:r>
    </w:p>
    <w:p w14:paraId="39C043A9" w14:textId="162749D9" w:rsidR="00D17CC9" w:rsidRPr="00F17D8D" w:rsidRDefault="002535CC" w:rsidP="00F863E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17D8D">
        <w:rPr>
          <w:rFonts w:ascii="Arial" w:hAnsi="Arial" w:cs="Arial"/>
          <w:color w:val="010000"/>
          <w:sz w:val="20"/>
        </w:rPr>
        <w:t>‎‎Article 1. Approv</w:t>
      </w:r>
      <w:r w:rsidR="006151BF" w:rsidRPr="00F17D8D">
        <w:rPr>
          <w:rFonts w:ascii="Arial" w:hAnsi="Arial" w:cs="Arial"/>
          <w:color w:val="010000"/>
          <w:sz w:val="20"/>
        </w:rPr>
        <w:t>e</w:t>
      </w:r>
      <w:r w:rsidRPr="00F17D8D">
        <w:rPr>
          <w:rFonts w:ascii="Arial" w:hAnsi="Arial" w:cs="Arial"/>
          <w:color w:val="010000"/>
          <w:sz w:val="20"/>
        </w:rPr>
        <w:t xml:space="preserve"> the Report of the Board of Directors of Dong </w:t>
      </w:r>
      <w:proofErr w:type="spellStart"/>
      <w:r w:rsidRPr="00F17D8D">
        <w:rPr>
          <w:rFonts w:ascii="Arial" w:hAnsi="Arial" w:cs="Arial"/>
          <w:color w:val="010000"/>
          <w:sz w:val="20"/>
        </w:rPr>
        <w:t>Nai</w:t>
      </w:r>
      <w:proofErr w:type="spellEnd"/>
      <w:r w:rsidRPr="00F17D8D">
        <w:rPr>
          <w:rFonts w:ascii="Arial" w:hAnsi="Arial" w:cs="Arial"/>
          <w:color w:val="010000"/>
          <w:sz w:val="20"/>
        </w:rPr>
        <w:t xml:space="preserve"> Pharmaceutical Joint Stock Company on operating results 2023 an</w:t>
      </w:r>
      <w:r w:rsidR="00887EED">
        <w:rPr>
          <w:rFonts w:ascii="Arial" w:hAnsi="Arial" w:cs="Arial"/>
          <w:color w:val="010000"/>
          <w:sz w:val="20"/>
        </w:rPr>
        <w:t xml:space="preserve">d directions and tasks in 2024 </w:t>
      </w:r>
      <w:bookmarkStart w:id="0" w:name="_GoBack"/>
      <w:bookmarkEnd w:id="0"/>
      <w:r w:rsidRPr="00F17D8D">
        <w:rPr>
          <w:rFonts w:ascii="Arial" w:hAnsi="Arial" w:cs="Arial"/>
          <w:color w:val="010000"/>
          <w:sz w:val="20"/>
        </w:rPr>
        <w:t>with the following main targets:</w:t>
      </w:r>
    </w:p>
    <w:p w14:paraId="1FF087C2" w14:textId="77777777" w:rsidR="00D17CC9" w:rsidRPr="00F17D8D" w:rsidRDefault="002535CC" w:rsidP="00F863E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17D8D">
        <w:rPr>
          <w:rFonts w:ascii="Arial" w:hAnsi="Arial" w:cs="Arial"/>
          <w:color w:val="010000"/>
          <w:sz w:val="20"/>
        </w:rPr>
        <w:t>Unit: Billion VND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45"/>
        <w:gridCol w:w="1890"/>
        <w:gridCol w:w="2070"/>
        <w:gridCol w:w="2812"/>
      </w:tblGrid>
      <w:tr w:rsidR="00D17CC9" w:rsidRPr="00F17D8D" w14:paraId="77B0B927" w14:textId="77777777" w:rsidTr="00887EED">
        <w:tc>
          <w:tcPr>
            <w:tcW w:w="12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94DD63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10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FE1CD9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 xml:space="preserve">Results in 2023 </w:t>
            </w:r>
          </w:p>
        </w:tc>
        <w:tc>
          <w:tcPr>
            <w:tcW w:w="11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5A56A4D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>Plan for 2024</w:t>
            </w:r>
          </w:p>
        </w:tc>
        <w:tc>
          <w:tcPr>
            <w:tcW w:w="15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5EBF206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 xml:space="preserve">% Plan 2024/Results 2023 </w:t>
            </w:r>
          </w:p>
        </w:tc>
      </w:tr>
      <w:tr w:rsidR="00D17CC9" w:rsidRPr="00F17D8D" w14:paraId="67C8FA4E" w14:textId="77777777" w:rsidTr="00887EED">
        <w:tc>
          <w:tcPr>
            <w:tcW w:w="12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BBF970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>1 Total revenue</w:t>
            </w:r>
          </w:p>
        </w:tc>
        <w:tc>
          <w:tcPr>
            <w:tcW w:w="10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5D29A9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>322.87</w:t>
            </w:r>
          </w:p>
        </w:tc>
        <w:tc>
          <w:tcPr>
            <w:tcW w:w="11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14086C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>390</w:t>
            </w:r>
          </w:p>
        </w:tc>
        <w:tc>
          <w:tcPr>
            <w:tcW w:w="15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93CA69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>121%</w:t>
            </w:r>
          </w:p>
        </w:tc>
      </w:tr>
      <w:tr w:rsidR="00D17CC9" w:rsidRPr="00F17D8D" w14:paraId="56339359" w14:textId="77777777" w:rsidTr="00887EED">
        <w:tc>
          <w:tcPr>
            <w:tcW w:w="12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4376C36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>2 Profit after tax</w:t>
            </w:r>
          </w:p>
        </w:tc>
        <w:tc>
          <w:tcPr>
            <w:tcW w:w="10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D3F2057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>8.290</w:t>
            </w:r>
          </w:p>
        </w:tc>
        <w:tc>
          <w:tcPr>
            <w:tcW w:w="11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9C8A9CE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>8.6</w:t>
            </w:r>
          </w:p>
        </w:tc>
        <w:tc>
          <w:tcPr>
            <w:tcW w:w="15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2273BF3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>103.73%</w:t>
            </w:r>
          </w:p>
        </w:tc>
      </w:tr>
      <w:tr w:rsidR="00D17CC9" w:rsidRPr="00F17D8D" w14:paraId="15C7FF86" w14:textId="77777777" w:rsidTr="00887EED">
        <w:tc>
          <w:tcPr>
            <w:tcW w:w="124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A88E68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>3 Dividend</w:t>
            </w:r>
          </w:p>
        </w:tc>
        <w:tc>
          <w:tcPr>
            <w:tcW w:w="10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46BF3CA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>12%</w:t>
            </w:r>
          </w:p>
        </w:tc>
        <w:tc>
          <w:tcPr>
            <w:tcW w:w="11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745536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>12%</w:t>
            </w:r>
          </w:p>
        </w:tc>
        <w:tc>
          <w:tcPr>
            <w:tcW w:w="1559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5F5E7BD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>100%</w:t>
            </w:r>
          </w:p>
        </w:tc>
      </w:tr>
    </w:tbl>
    <w:p w14:paraId="34A2848F" w14:textId="015FE6E4" w:rsidR="00D17CC9" w:rsidRPr="00F17D8D" w:rsidRDefault="002535CC" w:rsidP="00F863E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17D8D">
        <w:rPr>
          <w:rFonts w:ascii="Arial" w:hAnsi="Arial" w:cs="Arial"/>
          <w:color w:val="010000"/>
          <w:sz w:val="20"/>
        </w:rPr>
        <w:t xml:space="preserve">‎‎Article 2. Approve the report of the Supervisory Board on the results of appraisal of </w:t>
      </w:r>
      <w:r w:rsidR="006151BF" w:rsidRPr="00F17D8D">
        <w:rPr>
          <w:rFonts w:ascii="Arial" w:hAnsi="Arial" w:cs="Arial"/>
          <w:color w:val="010000"/>
          <w:sz w:val="20"/>
        </w:rPr>
        <w:t>Financial Statements</w:t>
      </w:r>
      <w:r w:rsidRPr="00F17D8D">
        <w:rPr>
          <w:rFonts w:ascii="Arial" w:hAnsi="Arial" w:cs="Arial"/>
          <w:color w:val="010000"/>
          <w:sz w:val="20"/>
        </w:rPr>
        <w:t xml:space="preserve"> and activities of the Board of Directors and the Executive Board in 2023. </w:t>
      </w:r>
    </w:p>
    <w:p w14:paraId="59C4235C" w14:textId="6AC559A9" w:rsidR="00D17CC9" w:rsidRPr="00F17D8D" w:rsidRDefault="002535CC" w:rsidP="00F863E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17D8D">
        <w:rPr>
          <w:rFonts w:ascii="Arial" w:hAnsi="Arial" w:cs="Arial"/>
          <w:color w:val="010000"/>
          <w:sz w:val="20"/>
        </w:rPr>
        <w:t xml:space="preserve">‎‎Article 3. Approve the </w:t>
      </w:r>
      <w:r w:rsidR="006151BF" w:rsidRPr="00F17D8D">
        <w:rPr>
          <w:rFonts w:ascii="Arial" w:hAnsi="Arial" w:cs="Arial"/>
          <w:color w:val="010000"/>
          <w:sz w:val="20"/>
        </w:rPr>
        <w:t>Financial Statements</w:t>
      </w:r>
      <w:r w:rsidRPr="00F17D8D">
        <w:rPr>
          <w:rFonts w:ascii="Arial" w:hAnsi="Arial" w:cs="Arial"/>
          <w:color w:val="010000"/>
          <w:sz w:val="20"/>
        </w:rPr>
        <w:t xml:space="preserve"> of Dong </w:t>
      </w:r>
      <w:proofErr w:type="spellStart"/>
      <w:r w:rsidRPr="00F17D8D">
        <w:rPr>
          <w:rFonts w:ascii="Arial" w:hAnsi="Arial" w:cs="Arial"/>
          <w:color w:val="010000"/>
          <w:sz w:val="20"/>
        </w:rPr>
        <w:t>Nai</w:t>
      </w:r>
      <w:proofErr w:type="spellEnd"/>
      <w:r w:rsidRPr="00F17D8D">
        <w:rPr>
          <w:rFonts w:ascii="Arial" w:hAnsi="Arial" w:cs="Arial"/>
          <w:color w:val="010000"/>
          <w:sz w:val="20"/>
        </w:rPr>
        <w:t xml:space="preserve"> Pharmaceutical Joint Stock Company for the fiscal year ending December 31, 2023 that have been audited and confirmed by AASC Auditing Firm Company Limited signed on February 19, 2024</w:t>
      </w:r>
    </w:p>
    <w:p w14:paraId="548D7037" w14:textId="77777777" w:rsidR="00D17CC9" w:rsidRPr="00F17D8D" w:rsidRDefault="002535CC" w:rsidP="00F863E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17D8D">
        <w:rPr>
          <w:rFonts w:ascii="Arial" w:hAnsi="Arial" w:cs="Arial"/>
          <w:color w:val="010000"/>
          <w:sz w:val="20"/>
        </w:rPr>
        <w:t>‎‎Article 4. Approve the Company's profit distribution plan in 2023 with the following key targets:</w:t>
      </w:r>
    </w:p>
    <w:p w14:paraId="5116C81E" w14:textId="678E4CA9" w:rsidR="00D17CC9" w:rsidRPr="00F17D8D" w:rsidRDefault="006151BF" w:rsidP="00F863E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17D8D">
        <w:rPr>
          <w:rFonts w:ascii="Arial" w:hAnsi="Arial" w:cs="Arial"/>
          <w:color w:val="010000"/>
          <w:sz w:val="20"/>
        </w:rPr>
        <w:t>Unit:</w:t>
      </w:r>
      <w:r w:rsidR="002535CC" w:rsidRPr="00F17D8D">
        <w:rPr>
          <w:rFonts w:ascii="Arial" w:hAnsi="Arial" w:cs="Arial"/>
          <w:color w:val="010000"/>
          <w:sz w:val="20"/>
        </w:rPr>
        <w:t xml:space="preserve"> VND</w:t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21"/>
        <w:gridCol w:w="5993"/>
        <w:gridCol w:w="2303"/>
      </w:tblGrid>
      <w:tr w:rsidR="00D17CC9" w:rsidRPr="00F17D8D" w14:paraId="2C192C7E" w14:textId="77777777" w:rsidTr="00F863E6">
        <w:tc>
          <w:tcPr>
            <w:tcW w:w="4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2081471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3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B052252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>TARGETS</w:t>
            </w:r>
          </w:p>
        </w:tc>
        <w:tc>
          <w:tcPr>
            <w:tcW w:w="12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F027396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>AMOUNT</w:t>
            </w:r>
          </w:p>
        </w:tc>
      </w:tr>
      <w:tr w:rsidR="00D17CC9" w:rsidRPr="00F17D8D" w14:paraId="35D37998" w14:textId="77777777" w:rsidTr="00F863E6">
        <w:tc>
          <w:tcPr>
            <w:tcW w:w="4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CCC9FEF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3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207C93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>Profit after tax in 2023</w:t>
            </w:r>
          </w:p>
        </w:tc>
        <w:tc>
          <w:tcPr>
            <w:tcW w:w="12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657EAB2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>8,290,287,407</w:t>
            </w:r>
          </w:p>
        </w:tc>
      </w:tr>
      <w:tr w:rsidR="00D17CC9" w:rsidRPr="00F17D8D" w14:paraId="6F8B3C95" w14:textId="77777777" w:rsidTr="00F863E6">
        <w:tc>
          <w:tcPr>
            <w:tcW w:w="4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EC8846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3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934A6EA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>Appropriation for investment and development funds</w:t>
            </w:r>
          </w:p>
        </w:tc>
        <w:tc>
          <w:tcPr>
            <w:tcW w:w="12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F455C5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>1,658,057,481</w:t>
            </w:r>
          </w:p>
        </w:tc>
      </w:tr>
      <w:tr w:rsidR="00D17CC9" w:rsidRPr="00F17D8D" w14:paraId="55293DAD" w14:textId="77777777" w:rsidTr="00F863E6">
        <w:tc>
          <w:tcPr>
            <w:tcW w:w="4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A00E0C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3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647CE2E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>Appropriation for bonus fund</w:t>
            </w:r>
          </w:p>
        </w:tc>
        <w:tc>
          <w:tcPr>
            <w:tcW w:w="12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BBDA32A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>414,514,370</w:t>
            </w:r>
          </w:p>
        </w:tc>
      </w:tr>
      <w:tr w:rsidR="00D17CC9" w:rsidRPr="00F17D8D" w14:paraId="2FB0FE4C" w14:textId="77777777" w:rsidTr="00F863E6">
        <w:tc>
          <w:tcPr>
            <w:tcW w:w="4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A2FF143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>4</w:t>
            </w:r>
          </w:p>
        </w:tc>
        <w:tc>
          <w:tcPr>
            <w:tcW w:w="3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4761E6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>Appropriation for welfare fund</w:t>
            </w:r>
          </w:p>
        </w:tc>
        <w:tc>
          <w:tcPr>
            <w:tcW w:w="12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835DC4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>829,028,704</w:t>
            </w:r>
          </w:p>
        </w:tc>
      </w:tr>
      <w:tr w:rsidR="00D17CC9" w:rsidRPr="00F17D8D" w14:paraId="4B1F563A" w14:textId="77777777" w:rsidTr="00F863E6">
        <w:tc>
          <w:tcPr>
            <w:tcW w:w="4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4187823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>5</w:t>
            </w:r>
          </w:p>
        </w:tc>
        <w:tc>
          <w:tcPr>
            <w:tcW w:w="3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9C597FB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>Undistributed profit after tax in 2023</w:t>
            </w:r>
          </w:p>
        </w:tc>
        <w:tc>
          <w:tcPr>
            <w:tcW w:w="12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C6433AE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>3,002,208,704</w:t>
            </w:r>
          </w:p>
        </w:tc>
      </w:tr>
      <w:tr w:rsidR="00D17CC9" w:rsidRPr="00F17D8D" w14:paraId="0EC4739B" w14:textId="77777777" w:rsidTr="00F863E6">
        <w:tc>
          <w:tcPr>
            <w:tcW w:w="4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C3BDBDF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>6</w:t>
            </w:r>
          </w:p>
        </w:tc>
        <w:tc>
          <w:tcPr>
            <w:tcW w:w="3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F6EA398" w14:textId="13718B9D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 xml:space="preserve">Accumulated remaining undistributed profit after tax (according to the Company's </w:t>
            </w:r>
            <w:r w:rsidR="006151BF" w:rsidRPr="00F17D8D">
              <w:rPr>
                <w:rFonts w:ascii="Arial" w:hAnsi="Arial" w:cs="Arial"/>
                <w:color w:val="010000"/>
                <w:sz w:val="20"/>
              </w:rPr>
              <w:t>Financial Statements</w:t>
            </w:r>
            <w:r w:rsidRPr="00F17D8D">
              <w:rPr>
                <w:rFonts w:ascii="Arial" w:hAnsi="Arial" w:cs="Arial"/>
                <w:color w:val="010000"/>
                <w:sz w:val="20"/>
              </w:rPr>
              <w:t>)</w:t>
            </w:r>
          </w:p>
        </w:tc>
        <w:tc>
          <w:tcPr>
            <w:tcW w:w="12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286F728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>4,732,826,037</w:t>
            </w:r>
          </w:p>
        </w:tc>
      </w:tr>
      <w:tr w:rsidR="00D17CC9" w:rsidRPr="00F17D8D" w14:paraId="0D88203D" w14:textId="77777777" w:rsidTr="00F863E6">
        <w:tc>
          <w:tcPr>
            <w:tcW w:w="400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93AC06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>7</w:t>
            </w:r>
          </w:p>
        </w:tc>
        <w:tc>
          <w:tcPr>
            <w:tcW w:w="332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93B1AD4" w14:textId="4558DBAC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>Distribute 12% dividend under Circular</w:t>
            </w:r>
            <w:r w:rsidR="006151BF" w:rsidRPr="00F17D8D">
              <w:rPr>
                <w:rFonts w:ascii="Arial" w:hAnsi="Arial" w:cs="Arial"/>
                <w:color w:val="010000"/>
                <w:sz w:val="20"/>
              </w:rPr>
              <w:t xml:space="preserve"> No.</w:t>
            </w:r>
            <w:r w:rsidRPr="00F17D8D">
              <w:rPr>
                <w:rFonts w:ascii="Arial" w:hAnsi="Arial" w:cs="Arial"/>
                <w:color w:val="010000"/>
                <w:sz w:val="20"/>
              </w:rPr>
              <w:t xml:space="preserve"> 200 (from profit after tax in 2023)</w:t>
            </w:r>
          </w:p>
        </w:tc>
        <w:tc>
          <w:tcPr>
            <w:tcW w:w="127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80F6C8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>3,600,012,000</w:t>
            </w:r>
          </w:p>
        </w:tc>
      </w:tr>
    </w:tbl>
    <w:p w14:paraId="3A4985DF" w14:textId="28707CCF" w:rsidR="00D17CC9" w:rsidRPr="00F17D8D" w:rsidRDefault="002535CC" w:rsidP="00F863E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17D8D">
        <w:rPr>
          <w:rFonts w:ascii="Arial" w:hAnsi="Arial" w:cs="Arial"/>
          <w:color w:val="010000"/>
          <w:sz w:val="20"/>
        </w:rPr>
        <w:t xml:space="preserve">Based on the realized profit in 2023 and undistributed profit after tax according to the company's </w:t>
      </w:r>
      <w:r w:rsidR="006151BF" w:rsidRPr="00F17D8D">
        <w:rPr>
          <w:rFonts w:ascii="Arial" w:hAnsi="Arial" w:cs="Arial"/>
          <w:color w:val="010000"/>
          <w:sz w:val="20"/>
        </w:rPr>
        <w:t>Financial Statements</w:t>
      </w:r>
      <w:r w:rsidRPr="00F17D8D">
        <w:rPr>
          <w:rFonts w:ascii="Arial" w:hAnsi="Arial" w:cs="Arial"/>
          <w:color w:val="010000"/>
          <w:sz w:val="20"/>
        </w:rPr>
        <w:t xml:space="preserve"> at December 31, 2023, the General Meeting approved the appropriation rate of funds as mentioned above and agreed to pay dividends in 2023 at 12% per par value of shares.</w:t>
      </w:r>
    </w:p>
    <w:p w14:paraId="31A1A151" w14:textId="77777777" w:rsidR="00D17CC9" w:rsidRPr="00F17D8D" w:rsidRDefault="002535CC" w:rsidP="00F863E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17D8D">
        <w:rPr>
          <w:rFonts w:ascii="Arial" w:hAnsi="Arial" w:cs="Arial"/>
          <w:color w:val="010000"/>
          <w:sz w:val="20"/>
        </w:rPr>
        <w:t>‎‎Article 5. Approve the production and business plan 2024.</w:t>
      </w:r>
    </w:p>
    <w:p w14:paraId="20B66A15" w14:textId="77777777" w:rsidR="00D17CC9" w:rsidRPr="00F17D8D" w:rsidRDefault="002535CC" w:rsidP="00F863E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54"/>
          <w:tab w:val="left" w:pos="756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17D8D">
        <w:rPr>
          <w:rFonts w:ascii="Arial" w:hAnsi="Arial" w:cs="Arial"/>
          <w:color w:val="010000"/>
          <w:sz w:val="20"/>
        </w:rPr>
        <w:t>Total revenue: VND 390 billion.</w:t>
      </w:r>
    </w:p>
    <w:p w14:paraId="11107050" w14:textId="77777777" w:rsidR="00D17CC9" w:rsidRPr="00F17D8D" w:rsidRDefault="002535CC" w:rsidP="00F863E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60"/>
          <w:tab w:val="left" w:pos="756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17D8D">
        <w:rPr>
          <w:rFonts w:ascii="Arial" w:hAnsi="Arial" w:cs="Arial"/>
          <w:color w:val="010000"/>
          <w:sz w:val="20"/>
        </w:rPr>
        <w:lastRenderedPageBreak/>
        <w:t>Profit before tax: VND 10.75 billion</w:t>
      </w:r>
    </w:p>
    <w:p w14:paraId="3EB167E2" w14:textId="77777777" w:rsidR="00D17CC9" w:rsidRPr="00F17D8D" w:rsidRDefault="002535CC" w:rsidP="00F863E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60"/>
          <w:tab w:val="left" w:pos="756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17D8D">
        <w:rPr>
          <w:rFonts w:ascii="Arial" w:hAnsi="Arial" w:cs="Arial"/>
          <w:color w:val="010000"/>
          <w:sz w:val="20"/>
        </w:rPr>
        <w:t>Profit after tax: VND 8.6 billion.</w:t>
      </w:r>
    </w:p>
    <w:p w14:paraId="36EB1322" w14:textId="7210437A" w:rsidR="00D17CC9" w:rsidRPr="00F17D8D" w:rsidRDefault="002535CC" w:rsidP="00F863E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64"/>
          <w:tab w:val="left" w:pos="756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17D8D">
        <w:rPr>
          <w:rFonts w:ascii="Arial" w:hAnsi="Arial" w:cs="Arial"/>
          <w:color w:val="010000"/>
          <w:sz w:val="20"/>
        </w:rPr>
        <w:t xml:space="preserve">Dividend payout </w:t>
      </w:r>
      <w:r w:rsidR="006151BF" w:rsidRPr="00F17D8D">
        <w:rPr>
          <w:rFonts w:ascii="Arial" w:hAnsi="Arial" w:cs="Arial"/>
          <w:color w:val="010000"/>
          <w:sz w:val="20"/>
        </w:rPr>
        <w:t>rate</w:t>
      </w:r>
      <w:r w:rsidRPr="00F17D8D">
        <w:rPr>
          <w:rFonts w:ascii="Arial" w:hAnsi="Arial" w:cs="Arial"/>
          <w:color w:val="010000"/>
          <w:sz w:val="20"/>
        </w:rPr>
        <w:t>/charter capital (minimum): 12%.</w:t>
      </w:r>
    </w:p>
    <w:p w14:paraId="7349C482" w14:textId="4C5A774A" w:rsidR="00D17CC9" w:rsidRPr="00F17D8D" w:rsidRDefault="002535CC" w:rsidP="00F863E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17D8D">
        <w:rPr>
          <w:rFonts w:ascii="Arial" w:hAnsi="Arial" w:cs="Arial"/>
          <w:color w:val="010000"/>
          <w:sz w:val="20"/>
        </w:rPr>
        <w:t xml:space="preserve">‎‎Article 6. Approve the selection of an audit company for the </w:t>
      </w:r>
      <w:r w:rsidR="006151BF" w:rsidRPr="00F17D8D">
        <w:rPr>
          <w:rFonts w:ascii="Arial" w:hAnsi="Arial" w:cs="Arial"/>
          <w:color w:val="010000"/>
          <w:sz w:val="20"/>
        </w:rPr>
        <w:t>Financial Statements</w:t>
      </w:r>
      <w:r w:rsidRPr="00F17D8D">
        <w:rPr>
          <w:rFonts w:ascii="Arial" w:hAnsi="Arial" w:cs="Arial"/>
          <w:color w:val="010000"/>
          <w:sz w:val="20"/>
        </w:rPr>
        <w:t xml:space="preserve"> 2024</w:t>
      </w:r>
    </w:p>
    <w:p w14:paraId="7004A22A" w14:textId="0526B7DA" w:rsidR="00D17CC9" w:rsidRPr="00F17D8D" w:rsidRDefault="002535CC" w:rsidP="00F863E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0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17D8D">
        <w:rPr>
          <w:rFonts w:ascii="Arial" w:hAnsi="Arial" w:cs="Arial"/>
          <w:color w:val="010000"/>
          <w:sz w:val="20"/>
        </w:rPr>
        <w:t xml:space="preserve">Approve the list of independent auditors auditing the </w:t>
      </w:r>
      <w:r w:rsidR="006151BF" w:rsidRPr="00F17D8D">
        <w:rPr>
          <w:rFonts w:ascii="Arial" w:hAnsi="Arial" w:cs="Arial"/>
          <w:color w:val="010000"/>
          <w:sz w:val="20"/>
        </w:rPr>
        <w:t>Financial Statements</w:t>
      </w:r>
      <w:r w:rsidRPr="00F17D8D">
        <w:rPr>
          <w:rFonts w:ascii="Arial" w:hAnsi="Arial" w:cs="Arial"/>
          <w:color w:val="010000"/>
          <w:sz w:val="20"/>
        </w:rPr>
        <w:t xml:space="preserve"> 2024 of Dong </w:t>
      </w:r>
      <w:proofErr w:type="spellStart"/>
      <w:r w:rsidRPr="00F17D8D">
        <w:rPr>
          <w:rFonts w:ascii="Arial" w:hAnsi="Arial" w:cs="Arial"/>
          <w:color w:val="010000"/>
          <w:sz w:val="20"/>
        </w:rPr>
        <w:t>Nai</w:t>
      </w:r>
      <w:proofErr w:type="spellEnd"/>
      <w:r w:rsidRPr="00F17D8D">
        <w:rPr>
          <w:rFonts w:ascii="Arial" w:hAnsi="Arial" w:cs="Arial"/>
          <w:color w:val="010000"/>
          <w:sz w:val="20"/>
        </w:rPr>
        <w:t xml:space="preserve"> Pharmaceutical Joint Stock Company as follows: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34"/>
        <w:gridCol w:w="8283"/>
      </w:tblGrid>
      <w:tr w:rsidR="00D17CC9" w:rsidRPr="00F17D8D" w14:paraId="03C8D897" w14:textId="77777777" w:rsidTr="00F863E6">
        <w:tc>
          <w:tcPr>
            <w:tcW w:w="4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CCE17AC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4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6F096A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>Name of Audit Company</w:t>
            </w:r>
          </w:p>
        </w:tc>
      </w:tr>
      <w:tr w:rsidR="00D17CC9" w:rsidRPr="00F17D8D" w14:paraId="38585C09" w14:textId="77777777" w:rsidTr="00F863E6">
        <w:tc>
          <w:tcPr>
            <w:tcW w:w="4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B29CB5B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4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6B4C3C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>PricewaterhouseCoopers (Vietnam) Ltd (PwC)</w:t>
            </w:r>
          </w:p>
        </w:tc>
      </w:tr>
      <w:tr w:rsidR="00D17CC9" w:rsidRPr="00F17D8D" w14:paraId="6EB125E9" w14:textId="77777777" w:rsidTr="00F863E6">
        <w:tc>
          <w:tcPr>
            <w:tcW w:w="4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0CF8EA0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4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9F634C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>AASC Auditing Firm Company Limited (AASC)</w:t>
            </w:r>
          </w:p>
        </w:tc>
      </w:tr>
      <w:tr w:rsidR="00D17CC9" w:rsidRPr="00F17D8D" w14:paraId="0F915283" w14:textId="77777777" w:rsidTr="00F863E6">
        <w:tc>
          <w:tcPr>
            <w:tcW w:w="40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D084A8A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>3</w:t>
            </w:r>
          </w:p>
        </w:tc>
        <w:tc>
          <w:tcPr>
            <w:tcW w:w="4593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2206360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>A&amp;C Auditing and Consulting Company Limited</w:t>
            </w:r>
          </w:p>
        </w:tc>
      </w:tr>
    </w:tbl>
    <w:p w14:paraId="55173000" w14:textId="5DBAC850" w:rsidR="00D17CC9" w:rsidRPr="00F17D8D" w:rsidRDefault="002535CC" w:rsidP="00F863E6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contextualSpacing w:val="0"/>
        <w:rPr>
          <w:rFonts w:ascii="Arial" w:eastAsia="Arial" w:hAnsi="Arial" w:cs="Arial"/>
          <w:color w:val="010000"/>
          <w:sz w:val="20"/>
          <w:szCs w:val="20"/>
        </w:rPr>
      </w:pPr>
      <w:r w:rsidRPr="00F17D8D">
        <w:rPr>
          <w:rFonts w:ascii="Arial" w:hAnsi="Arial" w:cs="Arial"/>
          <w:color w:val="010000"/>
          <w:sz w:val="20"/>
        </w:rPr>
        <w:t xml:space="preserve">Authorize the Board of Directors to select one of 03 (three) </w:t>
      </w:r>
      <w:r w:rsidR="006151BF" w:rsidRPr="00F17D8D">
        <w:rPr>
          <w:rFonts w:ascii="Arial" w:hAnsi="Arial" w:cs="Arial"/>
          <w:color w:val="010000"/>
          <w:sz w:val="20"/>
        </w:rPr>
        <w:t xml:space="preserve">audit </w:t>
      </w:r>
      <w:proofErr w:type="spellStart"/>
      <w:r w:rsidR="006151BF" w:rsidRPr="00F17D8D">
        <w:rPr>
          <w:rFonts w:ascii="Arial" w:hAnsi="Arial" w:cs="Arial"/>
          <w:color w:val="010000"/>
          <w:sz w:val="20"/>
        </w:rPr>
        <w:t>company</w:t>
      </w:r>
      <w:r w:rsidRPr="00F17D8D">
        <w:rPr>
          <w:rFonts w:ascii="Arial" w:hAnsi="Arial" w:cs="Arial"/>
          <w:color w:val="010000"/>
          <w:sz w:val="20"/>
        </w:rPr>
        <w:t>s</w:t>
      </w:r>
      <w:proofErr w:type="spellEnd"/>
      <w:r w:rsidRPr="00F17D8D">
        <w:rPr>
          <w:rFonts w:ascii="Arial" w:hAnsi="Arial" w:cs="Arial"/>
          <w:color w:val="010000"/>
          <w:sz w:val="20"/>
        </w:rPr>
        <w:t xml:space="preserve"> according to the above list to audit the Company's </w:t>
      </w:r>
      <w:r w:rsidR="006151BF" w:rsidRPr="00F17D8D">
        <w:rPr>
          <w:rFonts w:ascii="Arial" w:hAnsi="Arial" w:cs="Arial"/>
          <w:color w:val="010000"/>
          <w:sz w:val="20"/>
        </w:rPr>
        <w:t>Financial Statements</w:t>
      </w:r>
      <w:r w:rsidRPr="00F17D8D">
        <w:rPr>
          <w:rFonts w:ascii="Arial" w:hAnsi="Arial" w:cs="Arial"/>
          <w:color w:val="010000"/>
          <w:sz w:val="20"/>
        </w:rPr>
        <w:t xml:space="preserve"> 2024.</w:t>
      </w:r>
    </w:p>
    <w:p w14:paraId="7599439E" w14:textId="5B6D1161" w:rsidR="00D17CC9" w:rsidRPr="00F17D8D" w:rsidRDefault="002535CC" w:rsidP="00F863E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10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17D8D">
        <w:rPr>
          <w:rFonts w:ascii="Arial" w:hAnsi="Arial" w:cs="Arial"/>
          <w:color w:val="010000"/>
          <w:sz w:val="20"/>
        </w:rPr>
        <w:t xml:space="preserve">In case of failure to reach an agreement with one of the above-mentioned </w:t>
      </w:r>
      <w:r w:rsidR="006151BF" w:rsidRPr="00F17D8D">
        <w:rPr>
          <w:rFonts w:ascii="Arial" w:hAnsi="Arial" w:cs="Arial"/>
          <w:color w:val="010000"/>
          <w:sz w:val="20"/>
        </w:rPr>
        <w:t xml:space="preserve">audit </w:t>
      </w:r>
      <w:proofErr w:type="spellStart"/>
      <w:r w:rsidR="006151BF" w:rsidRPr="00F17D8D">
        <w:rPr>
          <w:rFonts w:ascii="Arial" w:hAnsi="Arial" w:cs="Arial"/>
          <w:color w:val="010000"/>
          <w:sz w:val="20"/>
        </w:rPr>
        <w:t>company</w:t>
      </w:r>
      <w:r w:rsidRPr="00F17D8D">
        <w:rPr>
          <w:rFonts w:ascii="Arial" w:hAnsi="Arial" w:cs="Arial"/>
          <w:color w:val="010000"/>
          <w:sz w:val="20"/>
        </w:rPr>
        <w:t>s</w:t>
      </w:r>
      <w:proofErr w:type="spellEnd"/>
      <w:r w:rsidRPr="00F17D8D">
        <w:rPr>
          <w:rFonts w:ascii="Arial" w:hAnsi="Arial" w:cs="Arial"/>
          <w:color w:val="010000"/>
          <w:sz w:val="20"/>
        </w:rPr>
        <w:t xml:space="preserve">, the </w:t>
      </w:r>
      <w:r w:rsidR="006151BF" w:rsidRPr="00F17D8D">
        <w:rPr>
          <w:rFonts w:ascii="Arial" w:hAnsi="Arial" w:cs="Arial"/>
          <w:color w:val="010000"/>
          <w:sz w:val="20"/>
        </w:rPr>
        <w:t>General Meeting of Shareholders</w:t>
      </w:r>
      <w:r w:rsidRPr="00F17D8D">
        <w:rPr>
          <w:rFonts w:ascii="Arial" w:hAnsi="Arial" w:cs="Arial"/>
          <w:color w:val="010000"/>
          <w:sz w:val="20"/>
        </w:rPr>
        <w:t xml:space="preserve"> authorizes the Board of Directors to select another </w:t>
      </w:r>
      <w:r w:rsidR="006151BF" w:rsidRPr="00F17D8D">
        <w:rPr>
          <w:rFonts w:ascii="Arial" w:hAnsi="Arial" w:cs="Arial"/>
          <w:color w:val="010000"/>
          <w:sz w:val="20"/>
        </w:rPr>
        <w:t>audit company</w:t>
      </w:r>
      <w:r w:rsidRPr="00F17D8D">
        <w:rPr>
          <w:rFonts w:ascii="Arial" w:hAnsi="Arial" w:cs="Arial"/>
          <w:color w:val="010000"/>
          <w:sz w:val="20"/>
        </w:rPr>
        <w:t xml:space="preserve"> on the list approved by the State Securities Commission to be eligible to audit public companies,</w:t>
      </w:r>
      <w:r w:rsidR="00F863E6" w:rsidRPr="00F17D8D">
        <w:rPr>
          <w:rFonts w:ascii="Arial" w:hAnsi="Arial" w:cs="Arial"/>
          <w:color w:val="010000"/>
          <w:sz w:val="20"/>
        </w:rPr>
        <w:t xml:space="preserve"> </w:t>
      </w:r>
      <w:r w:rsidRPr="00F17D8D">
        <w:rPr>
          <w:rFonts w:ascii="Arial" w:hAnsi="Arial" w:cs="Arial"/>
          <w:color w:val="010000"/>
          <w:sz w:val="20"/>
        </w:rPr>
        <w:t xml:space="preserve">listed company to audit the Company's </w:t>
      </w:r>
      <w:r w:rsidR="006151BF" w:rsidRPr="00F17D8D">
        <w:rPr>
          <w:rFonts w:ascii="Arial" w:hAnsi="Arial" w:cs="Arial"/>
          <w:color w:val="010000"/>
          <w:sz w:val="20"/>
        </w:rPr>
        <w:t>Financial Statements</w:t>
      </w:r>
      <w:r w:rsidRPr="00F17D8D">
        <w:rPr>
          <w:rFonts w:ascii="Arial" w:hAnsi="Arial" w:cs="Arial"/>
          <w:color w:val="010000"/>
          <w:sz w:val="20"/>
        </w:rPr>
        <w:t xml:space="preserve"> 2024.</w:t>
      </w:r>
    </w:p>
    <w:p w14:paraId="13C3F984" w14:textId="74A758C8" w:rsidR="00D17CC9" w:rsidRPr="00F17D8D" w:rsidRDefault="002535CC" w:rsidP="00F863E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17D8D">
        <w:rPr>
          <w:rFonts w:ascii="Arial" w:hAnsi="Arial" w:cs="Arial"/>
          <w:color w:val="010000"/>
          <w:sz w:val="20"/>
        </w:rPr>
        <w:t xml:space="preserve">‎‎Article 7. </w:t>
      </w:r>
      <w:r w:rsidR="006151BF" w:rsidRPr="00F17D8D">
        <w:rPr>
          <w:rFonts w:ascii="Arial" w:hAnsi="Arial" w:cs="Arial"/>
          <w:color w:val="010000"/>
          <w:sz w:val="20"/>
        </w:rPr>
        <w:t>Approve</w:t>
      </w:r>
      <w:r w:rsidRPr="00F17D8D">
        <w:rPr>
          <w:rFonts w:ascii="Arial" w:hAnsi="Arial" w:cs="Arial"/>
          <w:color w:val="010000"/>
          <w:sz w:val="20"/>
        </w:rPr>
        <w:t xml:space="preserve"> the remuneration 2023</w:t>
      </w:r>
      <w:r w:rsidR="00F863E6" w:rsidRPr="00F17D8D">
        <w:rPr>
          <w:rFonts w:ascii="Arial" w:hAnsi="Arial" w:cs="Arial"/>
          <w:color w:val="010000"/>
          <w:sz w:val="20"/>
        </w:rPr>
        <w:t xml:space="preserve"> </w:t>
      </w:r>
      <w:r w:rsidRPr="00F17D8D">
        <w:rPr>
          <w:rFonts w:ascii="Arial" w:hAnsi="Arial" w:cs="Arial"/>
          <w:color w:val="010000"/>
          <w:sz w:val="20"/>
        </w:rPr>
        <w:t xml:space="preserve">and expected remuneration 2024 of the Board of Directors, the Supervisory Board, and </w:t>
      </w:r>
      <w:r w:rsidR="00F17D8D" w:rsidRPr="00F17D8D">
        <w:rPr>
          <w:rFonts w:ascii="Arial" w:hAnsi="Arial" w:cs="Arial"/>
          <w:color w:val="010000"/>
          <w:sz w:val="20"/>
        </w:rPr>
        <w:t xml:space="preserve">person </w:t>
      </w:r>
      <w:r w:rsidRPr="00F17D8D">
        <w:rPr>
          <w:rFonts w:ascii="Arial" w:hAnsi="Arial" w:cs="Arial"/>
          <w:color w:val="010000"/>
          <w:sz w:val="20"/>
        </w:rPr>
        <w:t>in charge of Corporate Governance.</w:t>
      </w:r>
    </w:p>
    <w:p w14:paraId="6047ECD5" w14:textId="77777777" w:rsidR="00D17CC9" w:rsidRPr="00F17D8D" w:rsidRDefault="002535CC" w:rsidP="00F863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8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17D8D">
        <w:rPr>
          <w:rFonts w:ascii="Arial" w:hAnsi="Arial" w:cs="Arial"/>
          <w:color w:val="010000"/>
          <w:sz w:val="20"/>
        </w:rPr>
        <w:t>Approve the remuneration costs of the Board of Directors, the Supervisory Board, in charge of corporate governance spent in 2023 in the amount of: VND 276,000,000.</w:t>
      </w:r>
    </w:p>
    <w:p w14:paraId="425583D7" w14:textId="25AC00E9" w:rsidR="00D17CC9" w:rsidRPr="00F17D8D" w:rsidRDefault="002535CC" w:rsidP="00F863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8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17D8D">
        <w:rPr>
          <w:rFonts w:ascii="Arial" w:hAnsi="Arial" w:cs="Arial"/>
          <w:color w:val="010000"/>
          <w:sz w:val="20"/>
        </w:rPr>
        <w:t>Approve the plan to estimate the remuneration cost of the Board of Directors, the Supervisory Board, and</w:t>
      </w:r>
      <w:r w:rsidR="00F17D8D" w:rsidRPr="00F17D8D">
        <w:rPr>
          <w:rFonts w:ascii="Arial" w:hAnsi="Arial" w:cs="Arial"/>
          <w:color w:val="010000"/>
          <w:sz w:val="20"/>
        </w:rPr>
        <w:t xml:space="preserve"> person</w:t>
      </w:r>
      <w:r w:rsidRPr="00F17D8D">
        <w:rPr>
          <w:rFonts w:ascii="Arial" w:hAnsi="Arial" w:cs="Arial"/>
          <w:color w:val="010000"/>
          <w:sz w:val="20"/>
        </w:rPr>
        <w:t xml:space="preserve"> in charge of corporate governance in 2024. Specifically:</w:t>
      </w:r>
    </w:p>
    <w:p w14:paraId="65AFAE7D" w14:textId="77777777" w:rsidR="00D17CC9" w:rsidRPr="00F17D8D" w:rsidRDefault="002535CC" w:rsidP="00F863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17D8D">
        <w:rPr>
          <w:rFonts w:ascii="Arial" w:hAnsi="Arial" w:cs="Arial"/>
          <w:color w:val="010000"/>
          <w:sz w:val="20"/>
        </w:rPr>
        <w:t>Remuneration of the Chair of the Board of Directors VND 5,000,000/month</w:t>
      </w:r>
    </w:p>
    <w:p w14:paraId="1FC5D405" w14:textId="77777777" w:rsidR="00D17CC9" w:rsidRPr="00F17D8D" w:rsidRDefault="002535CC" w:rsidP="00F863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17D8D">
        <w:rPr>
          <w:rFonts w:ascii="Arial" w:hAnsi="Arial" w:cs="Arial"/>
          <w:color w:val="010000"/>
          <w:sz w:val="20"/>
        </w:rPr>
        <w:t xml:space="preserve"> Remuneration for members of the Board of Directors: VND 3,000,000/month</w:t>
      </w:r>
    </w:p>
    <w:p w14:paraId="036378CB" w14:textId="2D2F5BE9" w:rsidR="00D17CC9" w:rsidRPr="00F17D8D" w:rsidRDefault="002535CC" w:rsidP="00F863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17D8D">
        <w:rPr>
          <w:rFonts w:ascii="Arial" w:hAnsi="Arial" w:cs="Arial"/>
          <w:color w:val="010000"/>
          <w:sz w:val="20"/>
        </w:rPr>
        <w:t>Remuneration of Chief of Supervisory Board,</w:t>
      </w:r>
      <w:r w:rsidR="00F17D8D" w:rsidRPr="00F17D8D">
        <w:rPr>
          <w:rFonts w:ascii="Arial" w:hAnsi="Arial" w:cs="Arial"/>
          <w:color w:val="010000"/>
          <w:sz w:val="20"/>
        </w:rPr>
        <w:t xml:space="preserve"> person</w:t>
      </w:r>
      <w:r w:rsidRPr="00F17D8D">
        <w:rPr>
          <w:rFonts w:ascii="Arial" w:hAnsi="Arial" w:cs="Arial"/>
          <w:color w:val="010000"/>
          <w:sz w:val="20"/>
        </w:rPr>
        <w:t xml:space="preserve"> in charge of Corporate Governance: VND 2,000,000/month</w:t>
      </w:r>
    </w:p>
    <w:p w14:paraId="1A1DC756" w14:textId="77777777" w:rsidR="00D17CC9" w:rsidRPr="00F17D8D" w:rsidRDefault="002535CC" w:rsidP="00F863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rPr>
          <w:rFonts w:ascii="Arial" w:eastAsia="Arial" w:hAnsi="Arial" w:cs="Arial"/>
          <w:color w:val="010000"/>
          <w:sz w:val="20"/>
          <w:szCs w:val="20"/>
        </w:rPr>
      </w:pPr>
      <w:r w:rsidRPr="00F17D8D">
        <w:rPr>
          <w:rFonts w:ascii="Arial" w:hAnsi="Arial" w:cs="Arial"/>
          <w:color w:val="010000"/>
          <w:sz w:val="20"/>
        </w:rPr>
        <w:t>Remuneration for members of the Supervisory Board: VND 1,000,000/month</w:t>
      </w:r>
    </w:p>
    <w:p w14:paraId="0374DB94" w14:textId="44551335" w:rsidR="00D17CC9" w:rsidRPr="00F17D8D" w:rsidRDefault="002535CC" w:rsidP="00F863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205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17D8D">
        <w:rPr>
          <w:rFonts w:ascii="Arial" w:hAnsi="Arial" w:cs="Arial"/>
          <w:color w:val="010000"/>
          <w:sz w:val="20"/>
        </w:rPr>
        <w:t xml:space="preserve">Bonuses of the Board of Directors, Supervisory Board, </w:t>
      </w:r>
      <w:r w:rsidR="00F17D8D" w:rsidRPr="00F17D8D">
        <w:rPr>
          <w:rFonts w:ascii="Arial" w:hAnsi="Arial" w:cs="Arial"/>
          <w:color w:val="010000"/>
          <w:sz w:val="20"/>
        </w:rPr>
        <w:t xml:space="preserve">person </w:t>
      </w:r>
      <w:r w:rsidRPr="00F17D8D">
        <w:rPr>
          <w:rFonts w:ascii="Arial" w:hAnsi="Arial" w:cs="Arial"/>
          <w:color w:val="010000"/>
          <w:sz w:val="20"/>
        </w:rPr>
        <w:t>in charge of Corporate Governance, Executive Board:</w:t>
      </w:r>
    </w:p>
    <w:p w14:paraId="35186C1F" w14:textId="2E430E51" w:rsidR="00D17CC9" w:rsidRPr="00F17D8D" w:rsidRDefault="002535CC" w:rsidP="00F863E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17D8D">
        <w:rPr>
          <w:rFonts w:ascii="Arial" w:hAnsi="Arial" w:cs="Arial"/>
          <w:color w:val="010000"/>
          <w:sz w:val="20"/>
        </w:rPr>
        <w:t xml:space="preserve">The bonus </w:t>
      </w:r>
      <w:r w:rsidR="00F17D8D" w:rsidRPr="00F17D8D">
        <w:rPr>
          <w:rFonts w:ascii="Arial" w:hAnsi="Arial" w:cs="Arial"/>
          <w:color w:val="010000"/>
          <w:sz w:val="20"/>
        </w:rPr>
        <w:t>appropriation</w:t>
      </w:r>
      <w:r w:rsidRPr="00F17D8D">
        <w:rPr>
          <w:rFonts w:ascii="Arial" w:hAnsi="Arial" w:cs="Arial"/>
          <w:color w:val="010000"/>
          <w:sz w:val="20"/>
        </w:rPr>
        <w:t xml:space="preserve"> of the Board of Directors and the Supervisory Board,</w:t>
      </w:r>
      <w:r w:rsidR="00F17D8D" w:rsidRPr="00F17D8D">
        <w:rPr>
          <w:rFonts w:ascii="Arial" w:hAnsi="Arial" w:cs="Arial"/>
          <w:color w:val="010000"/>
          <w:sz w:val="20"/>
        </w:rPr>
        <w:t xml:space="preserve"> person</w:t>
      </w:r>
      <w:r w:rsidRPr="00F17D8D">
        <w:rPr>
          <w:rFonts w:ascii="Arial" w:hAnsi="Arial" w:cs="Arial"/>
          <w:color w:val="010000"/>
          <w:sz w:val="20"/>
        </w:rPr>
        <w:t xml:space="preserve"> in charge of corporate governance and the Executive Board in 2024 is up to 20% calculated on the excess profit after tax in 2024.</w:t>
      </w:r>
    </w:p>
    <w:p w14:paraId="04F8B350" w14:textId="77777777" w:rsidR="00D17CC9" w:rsidRPr="00F17D8D" w:rsidRDefault="002535CC" w:rsidP="00F863E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17D8D">
        <w:rPr>
          <w:rFonts w:ascii="Arial" w:hAnsi="Arial" w:cs="Arial"/>
          <w:color w:val="010000"/>
          <w:sz w:val="20"/>
        </w:rPr>
        <w:t>‎‎Article 8. Approve the Amendment and Supplement to the Company’s Charter;</w:t>
      </w:r>
    </w:p>
    <w:p w14:paraId="5403B391" w14:textId="77777777" w:rsidR="00D17CC9" w:rsidRPr="00F17D8D" w:rsidRDefault="002535CC" w:rsidP="00F863E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17D8D">
        <w:rPr>
          <w:rFonts w:ascii="Arial" w:hAnsi="Arial" w:cs="Arial"/>
          <w:color w:val="010000"/>
          <w:sz w:val="20"/>
        </w:rPr>
        <w:lastRenderedPageBreak/>
        <w:t>The General Meeting unanimously approved the amendment of the contents of the Company's Charter.</w:t>
      </w:r>
    </w:p>
    <w:p w14:paraId="2D0CA1A9" w14:textId="225E5D91" w:rsidR="00D17CC9" w:rsidRPr="00F17D8D" w:rsidRDefault="002535CC" w:rsidP="00F863E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17D8D">
        <w:rPr>
          <w:rFonts w:ascii="Arial" w:hAnsi="Arial" w:cs="Arial"/>
          <w:color w:val="010000"/>
          <w:sz w:val="20"/>
        </w:rPr>
        <w:t xml:space="preserve">‎‎Article 9. Approve the dismissal of members of the Board of Directors of Dong </w:t>
      </w:r>
      <w:proofErr w:type="spellStart"/>
      <w:r w:rsidRPr="00F17D8D">
        <w:rPr>
          <w:rFonts w:ascii="Arial" w:hAnsi="Arial" w:cs="Arial"/>
          <w:color w:val="010000"/>
          <w:sz w:val="20"/>
        </w:rPr>
        <w:t>Nai</w:t>
      </w:r>
      <w:proofErr w:type="spellEnd"/>
      <w:r w:rsidRPr="00F17D8D">
        <w:rPr>
          <w:rFonts w:ascii="Arial" w:hAnsi="Arial" w:cs="Arial"/>
          <w:color w:val="010000"/>
          <w:sz w:val="20"/>
        </w:rPr>
        <w:t xml:space="preserve"> Pharmaceutical Joint Stock Company, the IV term (2021-2026) for:</w:t>
      </w:r>
    </w:p>
    <w:p w14:paraId="58A29E05" w14:textId="77777777" w:rsidR="00D17CC9" w:rsidRPr="00F17D8D" w:rsidRDefault="002535CC" w:rsidP="00F863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5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17D8D">
        <w:rPr>
          <w:rFonts w:ascii="Arial" w:hAnsi="Arial" w:cs="Arial"/>
          <w:color w:val="010000"/>
          <w:sz w:val="20"/>
        </w:rPr>
        <w:t xml:space="preserve">Vu Van </w:t>
      </w:r>
      <w:proofErr w:type="spellStart"/>
      <w:r w:rsidRPr="00F17D8D">
        <w:rPr>
          <w:rFonts w:ascii="Arial" w:hAnsi="Arial" w:cs="Arial"/>
          <w:color w:val="010000"/>
          <w:sz w:val="20"/>
        </w:rPr>
        <w:t>Luyen</w:t>
      </w:r>
      <w:proofErr w:type="spellEnd"/>
    </w:p>
    <w:p w14:paraId="7195068C" w14:textId="77777777" w:rsidR="00D17CC9" w:rsidRPr="00F17D8D" w:rsidRDefault="002535CC" w:rsidP="00F863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17D8D">
        <w:rPr>
          <w:rFonts w:ascii="Arial" w:hAnsi="Arial" w:cs="Arial"/>
          <w:color w:val="010000"/>
          <w:sz w:val="20"/>
        </w:rPr>
        <w:t>Truong Thanh Tung</w:t>
      </w:r>
    </w:p>
    <w:p w14:paraId="7D2915CD" w14:textId="77777777" w:rsidR="00D17CC9" w:rsidRPr="00F17D8D" w:rsidRDefault="002535CC" w:rsidP="00F863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8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17D8D">
        <w:rPr>
          <w:rFonts w:ascii="Arial" w:hAnsi="Arial" w:cs="Arial"/>
          <w:color w:val="010000"/>
          <w:sz w:val="20"/>
        </w:rPr>
        <w:t xml:space="preserve">Nguyen Minh </w:t>
      </w:r>
      <w:proofErr w:type="spellStart"/>
      <w:r w:rsidRPr="00F17D8D">
        <w:rPr>
          <w:rFonts w:ascii="Arial" w:hAnsi="Arial" w:cs="Arial"/>
          <w:color w:val="010000"/>
          <w:sz w:val="20"/>
        </w:rPr>
        <w:t>Trung</w:t>
      </w:r>
      <w:proofErr w:type="spellEnd"/>
    </w:p>
    <w:p w14:paraId="2C365DDF" w14:textId="77777777" w:rsidR="00D17CC9" w:rsidRPr="00F17D8D" w:rsidRDefault="002535CC" w:rsidP="00F863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987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17D8D">
        <w:rPr>
          <w:rFonts w:ascii="Arial" w:hAnsi="Arial" w:cs="Arial"/>
          <w:color w:val="010000"/>
          <w:sz w:val="20"/>
        </w:rPr>
        <w:t>Nguyen Thi Thuy Van</w:t>
      </w:r>
    </w:p>
    <w:p w14:paraId="3CBC0C5A" w14:textId="77777777" w:rsidR="00D17CC9" w:rsidRPr="00F17D8D" w:rsidRDefault="002535CC" w:rsidP="00F863E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17D8D">
        <w:rPr>
          <w:rFonts w:ascii="Arial" w:hAnsi="Arial" w:cs="Arial"/>
          <w:color w:val="010000"/>
          <w:sz w:val="20"/>
        </w:rPr>
        <w:t xml:space="preserve">‎‎Article 10. Approve the number of members elected to supplement the Board of Directors of Dong </w:t>
      </w:r>
      <w:proofErr w:type="spellStart"/>
      <w:r w:rsidRPr="00F17D8D">
        <w:rPr>
          <w:rFonts w:ascii="Arial" w:hAnsi="Arial" w:cs="Arial"/>
          <w:color w:val="010000"/>
          <w:sz w:val="20"/>
        </w:rPr>
        <w:t>Nai</w:t>
      </w:r>
      <w:proofErr w:type="spellEnd"/>
      <w:r w:rsidRPr="00F17D8D">
        <w:rPr>
          <w:rFonts w:ascii="Arial" w:hAnsi="Arial" w:cs="Arial"/>
          <w:color w:val="010000"/>
          <w:sz w:val="20"/>
        </w:rPr>
        <w:t xml:space="preserve"> Pharmaceutical Joint Stock Company, the IV term (2021-2026):</w:t>
      </w:r>
    </w:p>
    <w:p w14:paraId="1532B875" w14:textId="77777777" w:rsidR="00D17CC9" w:rsidRPr="00F17D8D" w:rsidRDefault="002535CC" w:rsidP="00F863E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17D8D">
        <w:rPr>
          <w:rFonts w:ascii="Arial" w:hAnsi="Arial" w:cs="Arial"/>
          <w:color w:val="010000"/>
          <w:sz w:val="20"/>
        </w:rPr>
        <w:t xml:space="preserve">Number of members elected to supplement the Board of Directors of Dong </w:t>
      </w:r>
      <w:proofErr w:type="spellStart"/>
      <w:r w:rsidRPr="00F17D8D">
        <w:rPr>
          <w:rFonts w:ascii="Arial" w:hAnsi="Arial" w:cs="Arial"/>
          <w:color w:val="010000"/>
          <w:sz w:val="20"/>
        </w:rPr>
        <w:t>Nai</w:t>
      </w:r>
      <w:proofErr w:type="spellEnd"/>
      <w:r w:rsidRPr="00F17D8D">
        <w:rPr>
          <w:rFonts w:ascii="Arial" w:hAnsi="Arial" w:cs="Arial"/>
          <w:color w:val="010000"/>
          <w:sz w:val="20"/>
        </w:rPr>
        <w:t xml:space="preserve"> Pharmaceutical Joint Stock Company, IV term (2021-2026): 02 members.</w:t>
      </w:r>
    </w:p>
    <w:p w14:paraId="55DB1939" w14:textId="414E83F0" w:rsidR="00D17CC9" w:rsidRPr="00F17D8D" w:rsidRDefault="002535CC" w:rsidP="00F863E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17D8D">
        <w:rPr>
          <w:rFonts w:ascii="Arial" w:hAnsi="Arial" w:cs="Arial"/>
          <w:color w:val="010000"/>
          <w:sz w:val="20"/>
        </w:rPr>
        <w:t xml:space="preserve">‎‎Article 11. Approve the list of candidates for additional election to the Board of Directors of </w:t>
      </w:r>
      <w:r w:rsidR="00F17D8D" w:rsidRPr="00F17D8D">
        <w:rPr>
          <w:rFonts w:ascii="Arial" w:hAnsi="Arial" w:cs="Arial"/>
          <w:color w:val="010000"/>
          <w:sz w:val="20"/>
        </w:rPr>
        <w:t xml:space="preserve">Dong </w:t>
      </w:r>
      <w:proofErr w:type="spellStart"/>
      <w:r w:rsidR="00F17D8D" w:rsidRPr="00F17D8D">
        <w:rPr>
          <w:rFonts w:ascii="Arial" w:hAnsi="Arial" w:cs="Arial"/>
          <w:color w:val="010000"/>
          <w:sz w:val="20"/>
        </w:rPr>
        <w:t>Nai</w:t>
      </w:r>
      <w:proofErr w:type="spellEnd"/>
      <w:r w:rsidR="00F17D8D" w:rsidRPr="00F17D8D">
        <w:rPr>
          <w:rFonts w:ascii="Arial" w:hAnsi="Arial" w:cs="Arial"/>
          <w:color w:val="010000"/>
          <w:sz w:val="20"/>
        </w:rPr>
        <w:t xml:space="preserve"> Pharmaceutical Joint Stock Company</w:t>
      </w:r>
      <w:r w:rsidRPr="00F17D8D">
        <w:rPr>
          <w:rFonts w:ascii="Arial" w:hAnsi="Arial" w:cs="Arial"/>
          <w:color w:val="010000"/>
          <w:sz w:val="20"/>
        </w:rPr>
        <w:t>, the IV term (2021-2026) as follows:</w:t>
      </w:r>
    </w:p>
    <w:p w14:paraId="51638CCD" w14:textId="77777777" w:rsidR="00D17CC9" w:rsidRPr="00F17D8D" w:rsidRDefault="002535CC" w:rsidP="00F863E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17D8D">
        <w:rPr>
          <w:rFonts w:ascii="Arial" w:hAnsi="Arial" w:cs="Arial"/>
          <w:color w:val="010000"/>
          <w:sz w:val="20"/>
        </w:rPr>
        <w:t>List of candidates for additional election to the Board of Directors:</w:t>
      </w:r>
    </w:p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7"/>
        <w:gridCol w:w="1614"/>
        <w:gridCol w:w="482"/>
        <w:gridCol w:w="689"/>
        <w:gridCol w:w="1355"/>
        <w:gridCol w:w="1288"/>
        <w:gridCol w:w="1219"/>
        <w:gridCol w:w="2033"/>
      </w:tblGrid>
      <w:tr w:rsidR="00D17CC9" w:rsidRPr="00F17D8D" w14:paraId="5A9BBDAF" w14:textId="77777777" w:rsidTr="00F863E6">
        <w:tc>
          <w:tcPr>
            <w:tcW w:w="1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31D804B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>No.</w:t>
            </w:r>
          </w:p>
        </w:tc>
        <w:tc>
          <w:tcPr>
            <w:tcW w:w="8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DCFA5B2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>Full name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2147F99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>Date of birth</w:t>
            </w:r>
          </w:p>
        </w:tc>
        <w:tc>
          <w:tcPr>
            <w:tcW w:w="3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76FD391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>Gender</w:t>
            </w:r>
          </w:p>
        </w:tc>
        <w:tc>
          <w:tcPr>
            <w:tcW w:w="7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8144A59" w14:textId="7C286E18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>Identification Card/ Citizen ID Card number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752F05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>Qualification</w:t>
            </w:r>
          </w:p>
        </w:tc>
        <w:tc>
          <w:tcPr>
            <w:tcW w:w="6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399A1DD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>Current position</w:t>
            </w:r>
          </w:p>
        </w:tc>
        <w:tc>
          <w:tcPr>
            <w:tcW w:w="11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7E38D53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>Self-nomination/nomination form</w:t>
            </w:r>
          </w:p>
          <w:p w14:paraId="7FB19485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>- Nominated by shareholders</w:t>
            </w:r>
          </w:p>
        </w:tc>
      </w:tr>
      <w:tr w:rsidR="00D17CC9" w:rsidRPr="00F17D8D" w14:paraId="69887A73" w14:textId="77777777" w:rsidTr="00F863E6">
        <w:tc>
          <w:tcPr>
            <w:tcW w:w="1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3C8B6B9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>1</w:t>
            </w:r>
          </w:p>
        </w:tc>
        <w:tc>
          <w:tcPr>
            <w:tcW w:w="8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168A02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 xml:space="preserve">Nguyen Cao </w:t>
            </w:r>
            <w:proofErr w:type="spellStart"/>
            <w:r w:rsidRPr="00F17D8D">
              <w:rPr>
                <w:rFonts w:ascii="Arial" w:hAnsi="Arial" w:cs="Arial"/>
                <w:color w:val="010000"/>
                <w:sz w:val="20"/>
              </w:rPr>
              <w:t>Nhon</w:t>
            </w:r>
            <w:proofErr w:type="spellEnd"/>
          </w:p>
        </w:tc>
        <w:tc>
          <w:tcPr>
            <w:tcW w:w="2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B94E6A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>1969</w:t>
            </w:r>
          </w:p>
        </w:tc>
        <w:tc>
          <w:tcPr>
            <w:tcW w:w="3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01EA43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>Male</w:t>
            </w:r>
          </w:p>
        </w:tc>
        <w:tc>
          <w:tcPr>
            <w:tcW w:w="7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84D731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>064069000700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4405E3F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>Master of Business Administration</w:t>
            </w:r>
          </w:p>
        </w:tc>
        <w:tc>
          <w:tcPr>
            <w:tcW w:w="6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46C82DD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 xml:space="preserve">Deputy General Manager </w:t>
            </w:r>
          </w:p>
        </w:tc>
        <w:tc>
          <w:tcPr>
            <w:tcW w:w="11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1E501F3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>Nominate</w:t>
            </w:r>
          </w:p>
        </w:tc>
      </w:tr>
      <w:tr w:rsidR="00D17CC9" w:rsidRPr="00F17D8D" w14:paraId="7F40AB02" w14:textId="77777777" w:rsidTr="00F863E6">
        <w:tc>
          <w:tcPr>
            <w:tcW w:w="18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3CE904E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>2</w:t>
            </w:r>
          </w:p>
        </w:tc>
        <w:tc>
          <w:tcPr>
            <w:tcW w:w="895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682C3D9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 xml:space="preserve">Vo </w:t>
            </w:r>
            <w:proofErr w:type="spellStart"/>
            <w:r w:rsidRPr="00F17D8D">
              <w:rPr>
                <w:rFonts w:ascii="Arial" w:hAnsi="Arial" w:cs="Arial"/>
                <w:color w:val="010000"/>
                <w:sz w:val="20"/>
              </w:rPr>
              <w:t>Trung</w:t>
            </w:r>
            <w:proofErr w:type="spellEnd"/>
            <w:r w:rsidRPr="00F17D8D">
              <w:rPr>
                <w:rFonts w:ascii="Arial" w:hAnsi="Arial" w:cs="Arial"/>
                <w:color w:val="010000"/>
                <w:sz w:val="20"/>
              </w:rPr>
              <w:t xml:space="preserve"> Thanh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1A0288F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>1991</w:t>
            </w:r>
          </w:p>
        </w:tc>
        <w:tc>
          <w:tcPr>
            <w:tcW w:w="382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40CFC9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>Male</w:t>
            </w:r>
          </w:p>
        </w:tc>
        <w:tc>
          <w:tcPr>
            <w:tcW w:w="751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9704A0F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>040091010062</w:t>
            </w:r>
          </w:p>
        </w:tc>
        <w:tc>
          <w:tcPr>
            <w:tcW w:w="7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3D5D47B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>Construction Economics Engineer</w:t>
            </w:r>
          </w:p>
        </w:tc>
        <w:tc>
          <w:tcPr>
            <w:tcW w:w="676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D451A8C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 xml:space="preserve">General Manager </w:t>
            </w:r>
          </w:p>
        </w:tc>
        <w:tc>
          <w:tcPr>
            <w:tcW w:w="1127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18389D" w14:textId="77777777" w:rsidR="00D17CC9" w:rsidRPr="00F17D8D" w:rsidRDefault="002535CC" w:rsidP="00F86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</w:tabs>
              <w:spacing w:after="120" w:line="360" w:lineRule="auto"/>
              <w:rPr>
                <w:rFonts w:ascii="Arial" w:eastAsia="Arial" w:hAnsi="Arial" w:cs="Arial"/>
                <w:color w:val="010000"/>
                <w:sz w:val="20"/>
                <w:szCs w:val="20"/>
              </w:rPr>
            </w:pPr>
            <w:r w:rsidRPr="00F17D8D">
              <w:rPr>
                <w:rFonts w:ascii="Arial" w:hAnsi="Arial" w:cs="Arial"/>
                <w:color w:val="010000"/>
                <w:sz w:val="20"/>
              </w:rPr>
              <w:t xml:space="preserve">Nominate </w:t>
            </w:r>
          </w:p>
        </w:tc>
      </w:tr>
    </w:tbl>
    <w:p w14:paraId="6EED72F8" w14:textId="77777777" w:rsidR="00D17CC9" w:rsidRPr="00F17D8D" w:rsidRDefault="002535CC" w:rsidP="00F863E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gjdgxs"/>
      <w:bookmarkEnd w:id="1"/>
      <w:r w:rsidRPr="00F17D8D">
        <w:rPr>
          <w:rFonts w:ascii="Arial" w:hAnsi="Arial" w:cs="Arial"/>
          <w:color w:val="010000"/>
          <w:sz w:val="20"/>
        </w:rPr>
        <w:t>Article 12. Results of the additional election of members of the Board of Directors for the term of 2021 - 2026.</w:t>
      </w:r>
    </w:p>
    <w:p w14:paraId="26608F0E" w14:textId="77777777" w:rsidR="00D17CC9" w:rsidRPr="00F17D8D" w:rsidRDefault="002535CC" w:rsidP="00F863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91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17D8D">
        <w:rPr>
          <w:rFonts w:ascii="Arial" w:hAnsi="Arial" w:cs="Arial"/>
          <w:color w:val="010000"/>
          <w:sz w:val="20"/>
        </w:rPr>
        <w:t xml:space="preserve">Mr. Nguyen Cao </w:t>
      </w:r>
      <w:proofErr w:type="spellStart"/>
      <w:r w:rsidRPr="00F17D8D">
        <w:rPr>
          <w:rFonts w:ascii="Arial" w:hAnsi="Arial" w:cs="Arial"/>
          <w:color w:val="010000"/>
          <w:sz w:val="20"/>
        </w:rPr>
        <w:t>Nhon</w:t>
      </w:r>
      <w:proofErr w:type="spellEnd"/>
    </w:p>
    <w:p w14:paraId="615CC268" w14:textId="77777777" w:rsidR="00D17CC9" w:rsidRPr="00F17D8D" w:rsidRDefault="002535CC" w:rsidP="00F863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20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17D8D">
        <w:rPr>
          <w:rFonts w:ascii="Arial" w:hAnsi="Arial" w:cs="Arial"/>
          <w:color w:val="010000"/>
          <w:sz w:val="20"/>
        </w:rPr>
        <w:t xml:space="preserve">Mr. Nguyen </w:t>
      </w:r>
      <w:proofErr w:type="spellStart"/>
      <w:r w:rsidRPr="00F17D8D">
        <w:rPr>
          <w:rFonts w:ascii="Arial" w:hAnsi="Arial" w:cs="Arial"/>
          <w:color w:val="010000"/>
          <w:sz w:val="20"/>
        </w:rPr>
        <w:t>Trung</w:t>
      </w:r>
      <w:proofErr w:type="spellEnd"/>
      <w:r w:rsidRPr="00F17D8D">
        <w:rPr>
          <w:rFonts w:ascii="Arial" w:hAnsi="Arial" w:cs="Arial"/>
          <w:color w:val="010000"/>
          <w:sz w:val="20"/>
        </w:rPr>
        <w:t xml:space="preserve"> Thanh</w:t>
      </w:r>
    </w:p>
    <w:p w14:paraId="3E9B0412" w14:textId="77777777" w:rsidR="00D17CC9" w:rsidRPr="00F17D8D" w:rsidRDefault="002535CC" w:rsidP="00F863E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17D8D">
        <w:rPr>
          <w:rFonts w:ascii="Arial" w:hAnsi="Arial" w:cs="Arial"/>
          <w:color w:val="010000"/>
          <w:sz w:val="20"/>
        </w:rPr>
        <w:t>‎‎Article 13. Elect the position of Chair of the Board of Directors for the 2021-2026 term</w:t>
      </w:r>
    </w:p>
    <w:p w14:paraId="5BF7FCC8" w14:textId="77777777" w:rsidR="00D17CC9" w:rsidRPr="00F17D8D" w:rsidRDefault="002535CC" w:rsidP="00F863E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17D8D">
        <w:rPr>
          <w:rFonts w:ascii="Arial" w:hAnsi="Arial" w:cs="Arial"/>
          <w:color w:val="010000"/>
          <w:sz w:val="20"/>
        </w:rPr>
        <w:t xml:space="preserve">The Board of Directors met at the 20th session and unanimously elected Mr. Nguyen Cao </w:t>
      </w:r>
      <w:proofErr w:type="spellStart"/>
      <w:r w:rsidRPr="00F17D8D">
        <w:rPr>
          <w:rFonts w:ascii="Arial" w:hAnsi="Arial" w:cs="Arial"/>
          <w:color w:val="010000"/>
          <w:sz w:val="20"/>
        </w:rPr>
        <w:t>Nhon</w:t>
      </w:r>
      <w:proofErr w:type="spellEnd"/>
      <w:r w:rsidRPr="00F17D8D">
        <w:rPr>
          <w:rFonts w:ascii="Arial" w:hAnsi="Arial" w:cs="Arial"/>
          <w:color w:val="010000"/>
          <w:sz w:val="20"/>
        </w:rPr>
        <w:t xml:space="preserve"> to hold the position of Chair of the Board of Directors for the 2021-2026 term, as well as the legal representative of the Company.</w:t>
      </w:r>
    </w:p>
    <w:p w14:paraId="53A9611E" w14:textId="77777777" w:rsidR="00D17CC9" w:rsidRPr="00F17D8D" w:rsidRDefault="002535CC" w:rsidP="00F863E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17D8D">
        <w:rPr>
          <w:rFonts w:ascii="Arial" w:hAnsi="Arial" w:cs="Arial"/>
          <w:color w:val="010000"/>
          <w:sz w:val="20"/>
        </w:rPr>
        <w:lastRenderedPageBreak/>
        <w:t>‎‎Article 14. Terms of enforcement</w:t>
      </w:r>
    </w:p>
    <w:p w14:paraId="23FF9B49" w14:textId="77777777" w:rsidR="00D17CC9" w:rsidRPr="00F17D8D" w:rsidRDefault="002535CC" w:rsidP="00F863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95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17D8D">
        <w:rPr>
          <w:rFonts w:ascii="Arial" w:hAnsi="Arial" w:cs="Arial"/>
          <w:color w:val="010000"/>
          <w:sz w:val="20"/>
        </w:rPr>
        <w:t>Assign the Company's Board of Directors to take responsibility for:</w:t>
      </w:r>
    </w:p>
    <w:p w14:paraId="1FF4FBC4" w14:textId="77777777" w:rsidR="00D17CC9" w:rsidRPr="00F17D8D" w:rsidRDefault="002535CC" w:rsidP="00F863E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8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17D8D">
        <w:rPr>
          <w:rFonts w:ascii="Arial" w:hAnsi="Arial" w:cs="Arial"/>
          <w:color w:val="010000"/>
          <w:sz w:val="20"/>
        </w:rPr>
        <w:t>Direct and organize the implementation of the contents stated in this General Mandate in accordance with the provisions of law and the Company's Charter.</w:t>
      </w:r>
    </w:p>
    <w:p w14:paraId="146B432E" w14:textId="4C7F7653" w:rsidR="00D17CC9" w:rsidRPr="00F17D8D" w:rsidRDefault="002535CC" w:rsidP="00F863E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18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17D8D">
        <w:rPr>
          <w:rFonts w:ascii="Arial" w:hAnsi="Arial" w:cs="Arial"/>
          <w:color w:val="010000"/>
          <w:sz w:val="20"/>
        </w:rPr>
        <w:t xml:space="preserve">Report on the situation and results of implementation of this General Mandate at the next </w:t>
      </w:r>
      <w:r w:rsidR="006151BF" w:rsidRPr="00F17D8D">
        <w:rPr>
          <w:rFonts w:ascii="Arial" w:hAnsi="Arial" w:cs="Arial"/>
          <w:color w:val="010000"/>
          <w:sz w:val="20"/>
        </w:rPr>
        <w:t>General Meeting of Shareholders</w:t>
      </w:r>
      <w:r w:rsidRPr="00F17D8D">
        <w:rPr>
          <w:rFonts w:ascii="Arial" w:hAnsi="Arial" w:cs="Arial"/>
          <w:color w:val="010000"/>
          <w:sz w:val="20"/>
        </w:rPr>
        <w:t>.</w:t>
      </w:r>
    </w:p>
    <w:p w14:paraId="71FCFF4B" w14:textId="77777777" w:rsidR="00D17CC9" w:rsidRPr="00F17D8D" w:rsidRDefault="002535CC" w:rsidP="00F863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16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17D8D">
        <w:rPr>
          <w:rFonts w:ascii="Arial" w:hAnsi="Arial" w:cs="Arial"/>
          <w:color w:val="010000"/>
          <w:sz w:val="20"/>
        </w:rPr>
        <w:t>Assign the Company's Supervisory Board to take responsibility for:</w:t>
      </w:r>
    </w:p>
    <w:p w14:paraId="11DADA4F" w14:textId="77777777" w:rsidR="00D17CC9" w:rsidRPr="00F17D8D" w:rsidRDefault="002535CC" w:rsidP="00F863E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17D8D">
        <w:rPr>
          <w:rFonts w:ascii="Arial" w:hAnsi="Arial" w:cs="Arial"/>
          <w:color w:val="010000"/>
          <w:sz w:val="20"/>
        </w:rPr>
        <w:t>Inspect and supervise the implementation of this General Mandate in accordance with the provisions of law and the Company's charter.</w:t>
      </w:r>
    </w:p>
    <w:p w14:paraId="13F5B822" w14:textId="69C8BD2A" w:rsidR="00D17CC9" w:rsidRPr="00F17D8D" w:rsidRDefault="002535CC" w:rsidP="00F863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689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17D8D">
        <w:rPr>
          <w:rFonts w:ascii="Arial" w:hAnsi="Arial" w:cs="Arial"/>
          <w:color w:val="010000"/>
          <w:sz w:val="20"/>
        </w:rPr>
        <w:t xml:space="preserve">This General Mandate is voted by the Annual </w:t>
      </w:r>
      <w:r w:rsidR="006151BF" w:rsidRPr="00F17D8D">
        <w:rPr>
          <w:rFonts w:ascii="Arial" w:hAnsi="Arial" w:cs="Arial"/>
          <w:color w:val="010000"/>
          <w:sz w:val="20"/>
        </w:rPr>
        <w:t>General Meeting of Shareholders</w:t>
      </w:r>
      <w:r w:rsidRPr="00F17D8D">
        <w:rPr>
          <w:rFonts w:ascii="Arial" w:hAnsi="Arial" w:cs="Arial"/>
          <w:color w:val="010000"/>
          <w:sz w:val="20"/>
        </w:rPr>
        <w:t xml:space="preserve"> 2024 of the Company in accordance with the provisions of law and the Company's Charter; posted on the Company's website at: www.donaipharm.com.vn within 24 hours from the end of the General Meeting.</w:t>
      </w:r>
    </w:p>
    <w:p w14:paraId="54A5A301" w14:textId="77777777" w:rsidR="00D17CC9" w:rsidRPr="00F17D8D" w:rsidRDefault="002535CC" w:rsidP="00F863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724"/>
        </w:tabs>
        <w:spacing w:after="120" w:line="360" w:lineRule="auto"/>
        <w:rPr>
          <w:rFonts w:ascii="Arial" w:eastAsia="Arial" w:hAnsi="Arial" w:cs="Arial"/>
          <w:color w:val="010000"/>
          <w:sz w:val="20"/>
          <w:szCs w:val="20"/>
        </w:rPr>
      </w:pPr>
      <w:r w:rsidRPr="00F17D8D">
        <w:rPr>
          <w:rFonts w:ascii="Arial" w:hAnsi="Arial" w:cs="Arial"/>
          <w:color w:val="010000"/>
          <w:sz w:val="20"/>
        </w:rPr>
        <w:t>This General Mandate takes effect from the date of its signing./.</w:t>
      </w:r>
    </w:p>
    <w:sectPr w:rsidR="00D17CC9" w:rsidRPr="00F17D8D" w:rsidSect="00F863E6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16FC"/>
    <w:multiLevelType w:val="multilevel"/>
    <w:tmpl w:val="00A4DF4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EDF0284"/>
    <w:multiLevelType w:val="multilevel"/>
    <w:tmpl w:val="6D8AA80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B260587"/>
    <w:multiLevelType w:val="multilevel"/>
    <w:tmpl w:val="79C03ED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4F2661C"/>
    <w:multiLevelType w:val="multilevel"/>
    <w:tmpl w:val="FE8C0D6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E0F7934"/>
    <w:multiLevelType w:val="multilevel"/>
    <w:tmpl w:val="2CC4CA6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E723A21"/>
    <w:multiLevelType w:val="multilevel"/>
    <w:tmpl w:val="AA6A208C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2A13955"/>
    <w:multiLevelType w:val="multilevel"/>
    <w:tmpl w:val="7144E11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CC25068"/>
    <w:multiLevelType w:val="multilevel"/>
    <w:tmpl w:val="1C66DECA"/>
    <w:lvl w:ilvl="0">
      <w:start w:val="1"/>
      <w:numFmt w:val="bullet"/>
      <w:lvlText w:val="+"/>
      <w:lvlJc w:val="left"/>
      <w:pPr>
        <w:ind w:left="720" w:hanging="360"/>
      </w:pPr>
      <w:rPr>
        <w:b w:val="0"/>
        <w:i w:val="0"/>
        <w:sz w:val="20"/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b w:val="0"/>
        <w:i w:val="0"/>
        <w:sz w:val="20"/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FDC16F4"/>
    <w:multiLevelType w:val="multilevel"/>
    <w:tmpl w:val="5F1E8170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C9"/>
    <w:rsid w:val="002535CC"/>
    <w:rsid w:val="006151BF"/>
    <w:rsid w:val="00887EED"/>
    <w:rsid w:val="00CB5916"/>
    <w:rsid w:val="00D17CC9"/>
    <w:rsid w:val="00F17D8D"/>
    <w:rsid w:val="00F8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FB2588"/>
  <w15:docId w15:val="{F8DD3FBE-0A1A-4F3C-B24B-E213D20A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ing21">
    <w:name w:val="Heading #2"/>
    <w:basedOn w:val="Normal"/>
    <w:link w:val="Heading20"/>
    <w:pPr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pPr>
      <w:spacing w:line="180" w:lineRule="auto"/>
    </w:pPr>
    <w:rPr>
      <w:rFonts w:ascii="Arial" w:eastAsia="Arial" w:hAnsi="Arial" w:cs="Arial"/>
      <w:sz w:val="9"/>
      <w:szCs w:val="9"/>
    </w:rPr>
  </w:style>
  <w:style w:type="paragraph" w:customStyle="1" w:styleId="Bodytext30">
    <w:name w:val="Body text (3)"/>
    <w:basedOn w:val="Normal"/>
    <w:link w:val="Bodytext3"/>
    <w:pPr>
      <w:spacing w:line="235" w:lineRule="auto"/>
      <w:ind w:left="730" w:firstLine="400"/>
    </w:pPr>
    <w:rPr>
      <w:rFonts w:ascii="Arial" w:eastAsia="Arial" w:hAnsi="Arial" w:cs="Arial"/>
      <w:b/>
      <w:bCs/>
      <w:sz w:val="8"/>
      <w:szCs w:val="8"/>
    </w:rPr>
  </w:style>
  <w:style w:type="paragraph" w:customStyle="1" w:styleId="Bodytext50">
    <w:name w:val="Body text (5)"/>
    <w:basedOn w:val="Normal"/>
    <w:link w:val="Bodytext5"/>
    <w:pPr>
      <w:spacing w:line="23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Tablecaption0">
    <w:name w:val="Table caption"/>
    <w:basedOn w:val="Normal"/>
    <w:link w:val="Tablecaption"/>
    <w:pPr>
      <w:spacing w:line="259" w:lineRule="auto"/>
      <w:ind w:firstLine="4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60">
    <w:name w:val="Body text (6)"/>
    <w:basedOn w:val="Normal"/>
    <w:link w:val="Bodytext6"/>
    <w:pPr>
      <w:ind w:firstLine="740"/>
    </w:pPr>
    <w:rPr>
      <w:rFonts w:ascii="Palatino Linotype" w:eastAsia="Palatino Linotype" w:hAnsi="Palatino Linotype" w:cs="Palatino Linotype"/>
      <w:i/>
      <w:iCs/>
    </w:rPr>
  </w:style>
  <w:style w:type="paragraph" w:customStyle="1" w:styleId="Bodytext40">
    <w:name w:val="Body text (4)"/>
    <w:basedOn w:val="Normal"/>
    <w:link w:val="Bodytext4"/>
    <w:pPr>
      <w:ind w:firstLine="980"/>
    </w:pPr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ListParagraph">
    <w:name w:val="List Paragraph"/>
    <w:basedOn w:val="Normal"/>
    <w:uiPriority w:val="34"/>
    <w:qFormat/>
    <w:rsid w:val="0025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ZbFs8lhOwHW4NqRlX+QgNZ59OQ==">CgMxLjAyCGguZ2pkZ3hzOAByITFYOFk3T0N5ejc5MVFsamxIR3lYSWkzS1JmU0tMOEdJWA==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Trinh Ha Phuong</cp:lastModifiedBy>
  <cp:revision>6</cp:revision>
  <dcterms:created xsi:type="dcterms:W3CDTF">2024-04-25T01:30:00Z</dcterms:created>
  <dcterms:modified xsi:type="dcterms:W3CDTF">2024-04-26T11:09:00Z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3add4c13ab16c4091e175018ce99ad0ca14d177e14daccb544e2853ed5302c26</vt:lpwstr>
  </property>
</Properties>
</file>