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FE93" w14:textId="77777777" w:rsidR="00377650" w:rsidRPr="00562C37" w:rsidRDefault="00113863" w:rsidP="005F4F2D">
      <w:pPr>
        <w:keepNext/>
        <w:widowControl w:val="0"/>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562C37">
        <w:rPr>
          <w:rFonts w:ascii="Arial" w:hAnsi="Arial" w:cs="Arial"/>
          <w:b/>
          <w:color w:val="010000"/>
          <w:sz w:val="20"/>
        </w:rPr>
        <w:t>GTS: Annual General Mandate 2024</w:t>
      </w:r>
    </w:p>
    <w:p w14:paraId="1A37211A" w14:textId="77777777" w:rsidR="00377650" w:rsidRPr="00562C37" w:rsidRDefault="00113863" w:rsidP="005F4F2D">
      <w:pPr>
        <w:keepNext/>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On April 20, 2024, Saigon Traffic Construction Joint Stock Company announced General Mandate No. 01/2024/NQ-DHDCD as follows:</w:t>
      </w:r>
    </w:p>
    <w:p w14:paraId="4FFD91CD" w14:textId="1F040EE8"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‎‎Article 1. Approve the Report on production and business activities in 2023 and the production and business plan in 2024 of the Board of Management </w:t>
      </w:r>
    </w:p>
    <w:p w14:paraId="4DCF3785" w14:textId="541B002E"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2. Approve the Board of Directors' 2023 Activity Report with the following financial indicators:</w:t>
      </w:r>
    </w:p>
    <w:p w14:paraId="2191BF30" w14:textId="77777777" w:rsidR="00377650" w:rsidRPr="00562C37" w:rsidRDefault="00113863" w:rsidP="005F4F2D">
      <w:pPr>
        <w:keepNext/>
        <w:widowControl w:val="0"/>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62C37">
        <w:rPr>
          <w:rFonts w:ascii="Arial" w:hAnsi="Arial" w:cs="Arial"/>
          <w:color w:val="010000"/>
          <w:sz w:val="20"/>
        </w:rPr>
        <w:t>Production and business results in 2023:</w:t>
      </w:r>
    </w:p>
    <w:p w14:paraId="6F604E0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9"/>
        <w:gridCol w:w="3780"/>
        <w:gridCol w:w="1482"/>
        <w:gridCol w:w="1758"/>
        <w:gridCol w:w="1448"/>
      </w:tblGrid>
      <w:tr w:rsidR="00377650" w:rsidRPr="00562C37" w14:paraId="07DFBAC4" w14:textId="77777777" w:rsidTr="00113863">
        <w:tc>
          <w:tcPr>
            <w:tcW w:w="304" w:type="pct"/>
            <w:vMerge w:val="restart"/>
            <w:shd w:val="clear" w:color="auto" w:fill="auto"/>
            <w:tcMar>
              <w:top w:w="0" w:type="dxa"/>
              <w:bottom w:w="0" w:type="dxa"/>
            </w:tcMar>
            <w:vAlign w:val="center"/>
          </w:tcPr>
          <w:p w14:paraId="5C9F631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2096" w:type="pct"/>
            <w:vMerge w:val="restart"/>
            <w:shd w:val="clear" w:color="auto" w:fill="auto"/>
            <w:tcMar>
              <w:top w:w="0" w:type="dxa"/>
              <w:bottom w:w="0" w:type="dxa"/>
            </w:tcMar>
            <w:vAlign w:val="center"/>
          </w:tcPr>
          <w:p w14:paraId="69A8B0A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Target</w:t>
            </w:r>
          </w:p>
        </w:tc>
        <w:tc>
          <w:tcPr>
            <w:tcW w:w="822" w:type="pct"/>
            <w:shd w:val="clear" w:color="auto" w:fill="auto"/>
            <w:tcMar>
              <w:top w:w="0" w:type="dxa"/>
              <w:bottom w:w="0" w:type="dxa"/>
            </w:tcMar>
            <w:vAlign w:val="center"/>
          </w:tcPr>
          <w:p w14:paraId="078D23CD" w14:textId="37AA80E9"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Plan</w:t>
            </w:r>
            <w:r w:rsidR="00B44E7E" w:rsidRPr="00562C37">
              <w:rPr>
                <w:rFonts w:ascii="Arial" w:hAnsi="Arial" w:cs="Arial"/>
                <w:color w:val="010000"/>
                <w:sz w:val="20"/>
              </w:rPr>
              <w:t xml:space="preserve"> 2023</w:t>
            </w:r>
          </w:p>
        </w:tc>
        <w:tc>
          <w:tcPr>
            <w:tcW w:w="975" w:type="pct"/>
            <w:shd w:val="clear" w:color="auto" w:fill="auto"/>
            <w:tcMar>
              <w:top w:w="0" w:type="dxa"/>
              <w:bottom w:w="0" w:type="dxa"/>
            </w:tcMar>
            <w:vAlign w:val="center"/>
          </w:tcPr>
          <w:p w14:paraId="4CA326FE" w14:textId="1A02C573"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Results</w:t>
            </w:r>
            <w:r w:rsidR="00B44E7E" w:rsidRPr="00562C37">
              <w:rPr>
                <w:rFonts w:ascii="Arial" w:hAnsi="Arial" w:cs="Arial"/>
                <w:color w:val="010000"/>
                <w:sz w:val="20"/>
              </w:rPr>
              <w:t xml:space="preserve"> 2023</w:t>
            </w:r>
          </w:p>
        </w:tc>
        <w:tc>
          <w:tcPr>
            <w:tcW w:w="803" w:type="pct"/>
            <w:shd w:val="clear" w:color="auto" w:fill="auto"/>
            <w:tcMar>
              <w:top w:w="0" w:type="dxa"/>
              <w:bottom w:w="0" w:type="dxa"/>
            </w:tcMar>
            <w:vAlign w:val="center"/>
          </w:tcPr>
          <w:p w14:paraId="2A1BCEF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Completion rate (%)</w:t>
            </w:r>
          </w:p>
        </w:tc>
      </w:tr>
      <w:tr w:rsidR="00377650" w:rsidRPr="00562C37" w14:paraId="7D34407A" w14:textId="77777777" w:rsidTr="00113863">
        <w:tc>
          <w:tcPr>
            <w:tcW w:w="304" w:type="pct"/>
            <w:vMerge/>
            <w:shd w:val="clear" w:color="auto" w:fill="auto"/>
            <w:tcMar>
              <w:top w:w="0" w:type="dxa"/>
              <w:bottom w:w="0" w:type="dxa"/>
            </w:tcMar>
            <w:vAlign w:val="center"/>
          </w:tcPr>
          <w:p w14:paraId="2D0CAD4C" w14:textId="77777777" w:rsidR="00377650" w:rsidRPr="00562C37" w:rsidRDefault="00377650" w:rsidP="00113863">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2096" w:type="pct"/>
            <w:vMerge/>
            <w:shd w:val="clear" w:color="auto" w:fill="auto"/>
            <w:tcMar>
              <w:top w:w="0" w:type="dxa"/>
              <w:bottom w:w="0" w:type="dxa"/>
            </w:tcMar>
            <w:vAlign w:val="center"/>
          </w:tcPr>
          <w:p w14:paraId="5A610A02" w14:textId="77777777" w:rsidR="00377650" w:rsidRPr="00562C37" w:rsidRDefault="00377650" w:rsidP="00113863">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22" w:type="pct"/>
            <w:shd w:val="clear" w:color="auto" w:fill="auto"/>
            <w:tcMar>
              <w:top w:w="0" w:type="dxa"/>
              <w:bottom w:w="0" w:type="dxa"/>
            </w:tcMar>
            <w:vAlign w:val="center"/>
          </w:tcPr>
          <w:p w14:paraId="57C9E0E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975" w:type="pct"/>
            <w:shd w:val="clear" w:color="auto" w:fill="auto"/>
            <w:tcMar>
              <w:top w:w="0" w:type="dxa"/>
              <w:bottom w:w="0" w:type="dxa"/>
            </w:tcMar>
            <w:vAlign w:val="center"/>
          </w:tcPr>
          <w:p w14:paraId="76C66A5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803" w:type="pct"/>
            <w:shd w:val="clear" w:color="auto" w:fill="auto"/>
            <w:tcMar>
              <w:top w:w="0" w:type="dxa"/>
              <w:bottom w:w="0" w:type="dxa"/>
            </w:tcMar>
            <w:vAlign w:val="center"/>
          </w:tcPr>
          <w:p w14:paraId="34E9823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(3)=(2)/(1)</w:t>
            </w:r>
          </w:p>
        </w:tc>
      </w:tr>
      <w:tr w:rsidR="00377650" w:rsidRPr="00562C37" w14:paraId="382C2108" w14:textId="77777777" w:rsidTr="00113863">
        <w:tc>
          <w:tcPr>
            <w:tcW w:w="304" w:type="pct"/>
            <w:shd w:val="clear" w:color="auto" w:fill="auto"/>
            <w:tcMar>
              <w:top w:w="0" w:type="dxa"/>
              <w:bottom w:w="0" w:type="dxa"/>
            </w:tcMar>
            <w:vAlign w:val="center"/>
          </w:tcPr>
          <w:p w14:paraId="589A8EB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2096" w:type="pct"/>
            <w:shd w:val="clear" w:color="auto" w:fill="auto"/>
            <w:tcMar>
              <w:top w:w="0" w:type="dxa"/>
              <w:bottom w:w="0" w:type="dxa"/>
            </w:tcMar>
            <w:vAlign w:val="center"/>
          </w:tcPr>
          <w:p w14:paraId="3C62E3C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Revenue</w:t>
            </w:r>
          </w:p>
        </w:tc>
        <w:tc>
          <w:tcPr>
            <w:tcW w:w="822" w:type="pct"/>
            <w:shd w:val="clear" w:color="auto" w:fill="auto"/>
            <w:tcMar>
              <w:top w:w="0" w:type="dxa"/>
              <w:bottom w:w="0" w:type="dxa"/>
            </w:tcMar>
            <w:vAlign w:val="center"/>
          </w:tcPr>
          <w:p w14:paraId="38C8C0C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971,000</w:t>
            </w:r>
          </w:p>
        </w:tc>
        <w:tc>
          <w:tcPr>
            <w:tcW w:w="975" w:type="pct"/>
            <w:shd w:val="clear" w:color="auto" w:fill="auto"/>
            <w:tcMar>
              <w:top w:w="0" w:type="dxa"/>
              <w:bottom w:w="0" w:type="dxa"/>
            </w:tcMar>
            <w:vAlign w:val="center"/>
          </w:tcPr>
          <w:p w14:paraId="08976AD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1,294,370</w:t>
            </w:r>
          </w:p>
        </w:tc>
        <w:tc>
          <w:tcPr>
            <w:tcW w:w="803" w:type="pct"/>
            <w:shd w:val="clear" w:color="auto" w:fill="auto"/>
            <w:tcMar>
              <w:top w:w="0" w:type="dxa"/>
              <w:bottom w:w="0" w:type="dxa"/>
            </w:tcMar>
            <w:vAlign w:val="center"/>
          </w:tcPr>
          <w:p w14:paraId="33EA222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133.30%</w:t>
            </w:r>
          </w:p>
        </w:tc>
      </w:tr>
      <w:tr w:rsidR="00377650" w:rsidRPr="00562C37" w14:paraId="58D2F010" w14:textId="77777777" w:rsidTr="00113863">
        <w:tc>
          <w:tcPr>
            <w:tcW w:w="304" w:type="pct"/>
            <w:shd w:val="clear" w:color="auto" w:fill="auto"/>
            <w:tcMar>
              <w:top w:w="0" w:type="dxa"/>
              <w:bottom w:w="0" w:type="dxa"/>
            </w:tcMar>
            <w:vAlign w:val="center"/>
          </w:tcPr>
          <w:p w14:paraId="0FFC0FF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2096" w:type="pct"/>
            <w:shd w:val="clear" w:color="auto" w:fill="auto"/>
            <w:tcMar>
              <w:top w:w="0" w:type="dxa"/>
              <w:bottom w:w="0" w:type="dxa"/>
            </w:tcMar>
            <w:vAlign w:val="center"/>
          </w:tcPr>
          <w:p w14:paraId="53FD4B5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(after tax)</w:t>
            </w:r>
          </w:p>
        </w:tc>
        <w:tc>
          <w:tcPr>
            <w:tcW w:w="822" w:type="pct"/>
            <w:shd w:val="clear" w:color="auto" w:fill="auto"/>
            <w:tcMar>
              <w:top w:w="0" w:type="dxa"/>
              <w:bottom w:w="0" w:type="dxa"/>
            </w:tcMar>
            <w:vAlign w:val="center"/>
          </w:tcPr>
          <w:p w14:paraId="373F8BC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26,414</w:t>
            </w:r>
          </w:p>
        </w:tc>
        <w:tc>
          <w:tcPr>
            <w:tcW w:w="975" w:type="pct"/>
            <w:shd w:val="clear" w:color="auto" w:fill="auto"/>
            <w:tcMar>
              <w:top w:w="0" w:type="dxa"/>
              <w:bottom w:w="0" w:type="dxa"/>
            </w:tcMar>
            <w:vAlign w:val="center"/>
          </w:tcPr>
          <w:p w14:paraId="1BE1A52A"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27,184</w:t>
            </w:r>
          </w:p>
        </w:tc>
        <w:tc>
          <w:tcPr>
            <w:tcW w:w="803" w:type="pct"/>
            <w:shd w:val="clear" w:color="auto" w:fill="auto"/>
            <w:tcMar>
              <w:top w:w="0" w:type="dxa"/>
              <w:bottom w:w="0" w:type="dxa"/>
            </w:tcMar>
            <w:vAlign w:val="center"/>
          </w:tcPr>
          <w:p w14:paraId="3A89F04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102.92%</w:t>
            </w:r>
          </w:p>
        </w:tc>
      </w:tr>
      <w:tr w:rsidR="00377650" w:rsidRPr="00562C37" w14:paraId="3FA9964A" w14:textId="77777777" w:rsidTr="00113863">
        <w:tc>
          <w:tcPr>
            <w:tcW w:w="304" w:type="pct"/>
            <w:shd w:val="clear" w:color="auto" w:fill="auto"/>
            <w:tcMar>
              <w:top w:w="0" w:type="dxa"/>
              <w:bottom w:w="0" w:type="dxa"/>
            </w:tcMar>
            <w:vAlign w:val="center"/>
          </w:tcPr>
          <w:p w14:paraId="2F5078B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2096" w:type="pct"/>
            <w:shd w:val="clear" w:color="auto" w:fill="auto"/>
            <w:tcMar>
              <w:top w:w="0" w:type="dxa"/>
              <w:bottom w:w="0" w:type="dxa"/>
            </w:tcMar>
            <w:vAlign w:val="center"/>
          </w:tcPr>
          <w:p w14:paraId="3D33FBB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Dividends (%)</w:t>
            </w:r>
          </w:p>
        </w:tc>
        <w:tc>
          <w:tcPr>
            <w:tcW w:w="822" w:type="pct"/>
            <w:shd w:val="clear" w:color="auto" w:fill="auto"/>
            <w:tcMar>
              <w:top w:w="0" w:type="dxa"/>
              <w:bottom w:w="0" w:type="dxa"/>
            </w:tcMar>
            <w:vAlign w:val="center"/>
          </w:tcPr>
          <w:p w14:paraId="0E4B8EC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7.8%</w:t>
            </w:r>
          </w:p>
        </w:tc>
        <w:tc>
          <w:tcPr>
            <w:tcW w:w="975" w:type="pct"/>
            <w:shd w:val="clear" w:color="auto" w:fill="auto"/>
            <w:tcMar>
              <w:top w:w="0" w:type="dxa"/>
              <w:bottom w:w="0" w:type="dxa"/>
            </w:tcMar>
            <w:vAlign w:val="center"/>
          </w:tcPr>
          <w:p w14:paraId="03B0CA6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8%</w:t>
            </w:r>
          </w:p>
        </w:tc>
        <w:tc>
          <w:tcPr>
            <w:tcW w:w="803" w:type="pct"/>
            <w:shd w:val="clear" w:color="auto" w:fill="auto"/>
            <w:tcMar>
              <w:top w:w="0" w:type="dxa"/>
              <w:bottom w:w="0" w:type="dxa"/>
            </w:tcMar>
            <w:vAlign w:val="center"/>
          </w:tcPr>
          <w:p w14:paraId="305172B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102.56%</w:t>
            </w:r>
          </w:p>
        </w:tc>
      </w:tr>
    </w:tbl>
    <w:p w14:paraId="67F7723E" w14:textId="6880DE74"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Notes: - </w:t>
      </w:r>
      <w:r w:rsidR="00B44E7E" w:rsidRPr="00562C37">
        <w:rPr>
          <w:rFonts w:ascii="Arial" w:hAnsi="Arial" w:cs="Arial"/>
          <w:color w:val="010000"/>
          <w:sz w:val="20"/>
        </w:rPr>
        <w:t>According</w:t>
      </w:r>
      <w:r w:rsidRPr="00562C37">
        <w:rPr>
          <w:rFonts w:ascii="Arial" w:hAnsi="Arial" w:cs="Arial"/>
          <w:color w:val="010000"/>
          <w:sz w:val="20"/>
        </w:rPr>
        <w:t xml:space="preserve"> to</w:t>
      </w:r>
      <w:r w:rsidR="00B44E7E" w:rsidRPr="00562C37">
        <w:rPr>
          <w:rFonts w:ascii="Arial" w:hAnsi="Arial" w:cs="Arial"/>
          <w:color w:val="010000"/>
          <w:sz w:val="20"/>
        </w:rPr>
        <w:t xml:space="preserve"> the data on the</w:t>
      </w:r>
      <w:r w:rsidRPr="00562C37">
        <w:rPr>
          <w:rFonts w:ascii="Arial" w:hAnsi="Arial" w:cs="Arial"/>
          <w:color w:val="010000"/>
          <w:sz w:val="20"/>
        </w:rPr>
        <w:t xml:space="preserve"> </w:t>
      </w:r>
      <w:r w:rsidR="00B44E7E" w:rsidRPr="00562C37">
        <w:rPr>
          <w:rFonts w:ascii="Arial" w:hAnsi="Arial" w:cs="Arial"/>
          <w:color w:val="010000"/>
          <w:sz w:val="20"/>
        </w:rPr>
        <w:t xml:space="preserve">Audited Consolidated Financial Statements </w:t>
      </w:r>
      <w:r w:rsidRPr="00562C37">
        <w:rPr>
          <w:rFonts w:ascii="Arial" w:hAnsi="Arial" w:cs="Arial"/>
          <w:color w:val="010000"/>
          <w:sz w:val="20"/>
        </w:rPr>
        <w:t xml:space="preserve">2023. </w:t>
      </w:r>
    </w:p>
    <w:p w14:paraId="1AE69ACE" w14:textId="77777777" w:rsidR="00377650" w:rsidRPr="00562C37" w:rsidRDefault="00113863" w:rsidP="00113863">
      <w:pPr>
        <w:widowControl w:val="0"/>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62C37">
        <w:rPr>
          <w:rFonts w:ascii="Arial" w:hAnsi="Arial" w:cs="Arial"/>
          <w:color w:val="010000"/>
          <w:sz w:val="20"/>
        </w:rPr>
        <w:t>The business plan 2024;</w:t>
      </w:r>
    </w:p>
    <w:p w14:paraId="1BCD81F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3051"/>
        <w:gridCol w:w="1845"/>
        <w:gridCol w:w="1720"/>
        <w:gridCol w:w="1710"/>
      </w:tblGrid>
      <w:tr w:rsidR="00377650" w:rsidRPr="00562C37" w14:paraId="0E7EBE03" w14:textId="77777777" w:rsidTr="00113863">
        <w:tc>
          <w:tcPr>
            <w:tcW w:w="383" w:type="pct"/>
            <w:shd w:val="clear" w:color="auto" w:fill="auto"/>
            <w:tcMar>
              <w:top w:w="0" w:type="dxa"/>
              <w:bottom w:w="0" w:type="dxa"/>
            </w:tcMar>
            <w:vAlign w:val="center"/>
          </w:tcPr>
          <w:p w14:paraId="3600A6B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1692" w:type="pct"/>
            <w:shd w:val="clear" w:color="auto" w:fill="auto"/>
            <w:tcMar>
              <w:top w:w="0" w:type="dxa"/>
              <w:bottom w:w="0" w:type="dxa"/>
            </w:tcMar>
            <w:vAlign w:val="center"/>
          </w:tcPr>
          <w:p w14:paraId="5209AD1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Target</w:t>
            </w:r>
          </w:p>
        </w:tc>
        <w:tc>
          <w:tcPr>
            <w:tcW w:w="1023" w:type="pct"/>
            <w:shd w:val="clear" w:color="auto" w:fill="auto"/>
            <w:tcMar>
              <w:top w:w="0" w:type="dxa"/>
              <w:bottom w:w="0" w:type="dxa"/>
            </w:tcMar>
            <w:vAlign w:val="center"/>
          </w:tcPr>
          <w:p w14:paraId="58419AE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Plan in 2023</w:t>
            </w:r>
          </w:p>
        </w:tc>
        <w:tc>
          <w:tcPr>
            <w:tcW w:w="954" w:type="pct"/>
            <w:shd w:val="clear" w:color="auto" w:fill="auto"/>
            <w:tcMar>
              <w:top w:w="0" w:type="dxa"/>
              <w:bottom w:w="0" w:type="dxa"/>
            </w:tcMar>
            <w:vAlign w:val="center"/>
          </w:tcPr>
          <w:p w14:paraId="67DF6F9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Plan for 2024</w:t>
            </w:r>
          </w:p>
        </w:tc>
        <w:tc>
          <w:tcPr>
            <w:tcW w:w="949" w:type="pct"/>
            <w:shd w:val="clear" w:color="auto" w:fill="auto"/>
            <w:tcMar>
              <w:top w:w="0" w:type="dxa"/>
              <w:bottom w:w="0" w:type="dxa"/>
            </w:tcMar>
            <w:vAlign w:val="center"/>
          </w:tcPr>
          <w:p w14:paraId="01C818F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Plan Rate in 2024/</w:t>
            </w:r>
          </w:p>
          <w:p w14:paraId="7472AF4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Plan</w:t>
            </w:r>
          </w:p>
          <w:p w14:paraId="6EBAC75A"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2023 Results (%)</w:t>
            </w:r>
          </w:p>
        </w:tc>
      </w:tr>
      <w:tr w:rsidR="00377650" w:rsidRPr="00562C37" w14:paraId="0CD09C3A" w14:textId="77777777" w:rsidTr="00113863">
        <w:tc>
          <w:tcPr>
            <w:tcW w:w="383" w:type="pct"/>
            <w:shd w:val="clear" w:color="auto" w:fill="auto"/>
            <w:tcMar>
              <w:top w:w="0" w:type="dxa"/>
              <w:bottom w:w="0" w:type="dxa"/>
            </w:tcMar>
            <w:vAlign w:val="center"/>
          </w:tcPr>
          <w:p w14:paraId="2F4C2560"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c>
          <w:tcPr>
            <w:tcW w:w="1692" w:type="pct"/>
            <w:shd w:val="clear" w:color="auto" w:fill="auto"/>
            <w:tcMar>
              <w:top w:w="0" w:type="dxa"/>
              <w:bottom w:w="0" w:type="dxa"/>
            </w:tcMar>
            <w:vAlign w:val="center"/>
          </w:tcPr>
          <w:p w14:paraId="174294C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1023" w:type="pct"/>
            <w:shd w:val="clear" w:color="auto" w:fill="auto"/>
            <w:tcMar>
              <w:top w:w="0" w:type="dxa"/>
              <w:bottom w:w="0" w:type="dxa"/>
            </w:tcMar>
            <w:vAlign w:val="center"/>
          </w:tcPr>
          <w:p w14:paraId="7051E23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954" w:type="pct"/>
            <w:shd w:val="clear" w:color="auto" w:fill="auto"/>
            <w:tcMar>
              <w:top w:w="0" w:type="dxa"/>
              <w:bottom w:w="0" w:type="dxa"/>
            </w:tcMar>
            <w:vAlign w:val="center"/>
          </w:tcPr>
          <w:p w14:paraId="10604EF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949" w:type="pct"/>
            <w:shd w:val="clear" w:color="auto" w:fill="auto"/>
            <w:tcMar>
              <w:top w:w="0" w:type="dxa"/>
              <w:bottom w:w="0" w:type="dxa"/>
            </w:tcMar>
            <w:vAlign w:val="center"/>
          </w:tcPr>
          <w:p w14:paraId="59C244A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 = (3)/(2)</w:t>
            </w:r>
          </w:p>
        </w:tc>
      </w:tr>
      <w:tr w:rsidR="00377650" w:rsidRPr="00562C37" w14:paraId="29BE78DA" w14:textId="77777777" w:rsidTr="00113863">
        <w:tc>
          <w:tcPr>
            <w:tcW w:w="383" w:type="pct"/>
            <w:shd w:val="clear" w:color="auto" w:fill="auto"/>
            <w:tcMar>
              <w:top w:w="0" w:type="dxa"/>
              <w:bottom w:w="0" w:type="dxa"/>
            </w:tcMar>
            <w:vAlign w:val="center"/>
          </w:tcPr>
          <w:p w14:paraId="3A06239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1692" w:type="pct"/>
            <w:shd w:val="clear" w:color="auto" w:fill="auto"/>
            <w:tcMar>
              <w:top w:w="0" w:type="dxa"/>
              <w:bottom w:w="0" w:type="dxa"/>
            </w:tcMar>
            <w:vAlign w:val="center"/>
          </w:tcPr>
          <w:p w14:paraId="188FBBA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Revenue</w:t>
            </w:r>
          </w:p>
        </w:tc>
        <w:tc>
          <w:tcPr>
            <w:tcW w:w="1023" w:type="pct"/>
            <w:shd w:val="clear" w:color="auto" w:fill="auto"/>
            <w:tcMar>
              <w:top w:w="0" w:type="dxa"/>
              <w:bottom w:w="0" w:type="dxa"/>
            </w:tcMar>
            <w:vAlign w:val="center"/>
          </w:tcPr>
          <w:p w14:paraId="5D1FF70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971,000</w:t>
            </w:r>
          </w:p>
        </w:tc>
        <w:tc>
          <w:tcPr>
            <w:tcW w:w="954" w:type="pct"/>
            <w:shd w:val="clear" w:color="auto" w:fill="auto"/>
            <w:tcMar>
              <w:top w:w="0" w:type="dxa"/>
              <w:bottom w:w="0" w:type="dxa"/>
            </w:tcMar>
            <w:vAlign w:val="center"/>
          </w:tcPr>
          <w:p w14:paraId="2E5481D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990,000</w:t>
            </w:r>
          </w:p>
        </w:tc>
        <w:tc>
          <w:tcPr>
            <w:tcW w:w="949" w:type="pct"/>
            <w:shd w:val="clear" w:color="auto" w:fill="auto"/>
            <w:tcMar>
              <w:top w:w="0" w:type="dxa"/>
              <w:bottom w:w="0" w:type="dxa"/>
            </w:tcMar>
            <w:vAlign w:val="center"/>
          </w:tcPr>
          <w:p w14:paraId="7B05D4B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102%</w:t>
            </w:r>
          </w:p>
        </w:tc>
      </w:tr>
      <w:tr w:rsidR="00377650" w:rsidRPr="00562C37" w14:paraId="61BB0A3F" w14:textId="77777777" w:rsidTr="00113863">
        <w:tc>
          <w:tcPr>
            <w:tcW w:w="383" w:type="pct"/>
            <w:shd w:val="clear" w:color="auto" w:fill="auto"/>
            <w:tcMar>
              <w:top w:w="0" w:type="dxa"/>
              <w:bottom w:w="0" w:type="dxa"/>
            </w:tcMar>
            <w:vAlign w:val="center"/>
          </w:tcPr>
          <w:p w14:paraId="0B2F0D2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1692" w:type="pct"/>
            <w:shd w:val="clear" w:color="auto" w:fill="auto"/>
            <w:tcMar>
              <w:top w:w="0" w:type="dxa"/>
              <w:bottom w:w="0" w:type="dxa"/>
            </w:tcMar>
            <w:vAlign w:val="center"/>
          </w:tcPr>
          <w:p w14:paraId="27184F5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after tax</w:t>
            </w:r>
          </w:p>
        </w:tc>
        <w:tc>
          <w:tcPr>
            <w:tcW w:w="1023" w:type="pct"/>
            <w:shd w:val="clear" w:color="auto" w:fill="auto"/>
            <w:tcMar>
              <w:top w:w="0" w:type="dxa"/>
              <w:bottom w:w="0" w:type="dxa"/>
            </w:tcMar>
            <w:vAlign w:val="center"/>
          </w:tcPr>
          <w:p w14:paraId="6AA94D1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26,414</w:t>
            </w:r>
          </w:p>
        </w:tc>
        <w:tc>
          <w:tcPr>
            <w:tcW w:w="954" w:type="pct"/>
            <w:shd w:val="clear" w:color="auto" w:fill="auto"/>
            <w:tcMar>
              <w:top w:w="0" w:type="dxa"/>
              <w:bottom w:w="0" w:type="dxa"/>
            </w:tcMar>
            <w:vAlign w:val="center"/>
          </w:tcPr>
          <w:p w14:paraId="7C0069C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23,126</w:t>
            </w:r>
          </w:p>
        </w:tc>
        <w:tc>
          <w:tcPr>
            <w:tcW w:w="949" w:type="pct"/>
            <w:shd w:val="clear" w:color="auto" w:fill="auto"/>
            <w:tcMar>
              <w:top w:w="0" w:type="dxa"/>
              <w:bottom w:w="0" w:type="dxa"/>
            </w:tcMar>
            <w:vAlign w:val="center"/>
          </w:tcPr>
          <w:p w14:paraId="36E747D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87.55%</w:t>
            </w:r>
          </w:p>
        </w:tc>
      </w:tr>
      <w:tr w:rsidR="00377650" w:rsidRPr="00562C37" w14:paraId="047B89B3" w14:textId="77777777" w:rsidTr="00113863">
        <w:tc>
          <w:tcPr>
            <w:tcW w:w="383" w:type="pct"/>
            <w:shd w:val="clear" w:color="auto" w:fill="auto"/>
            <w:tcMar>
              <w:top w:w="0" w:type="dxa"/>
              <w:bottom w:w="0" w:type="dxa"/>
            </w:tcMar>
            <w:vAlign w:val="center"/>
          </w:tcPr>
          <w:p w14:paraId="5F84ED4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1692" w:type="pct"/>
            <w:shd w:val="clear" w:color="auto" w:fill="auto"/>
            <w:tcMar>
              <w:top w:w="0" w:type="dxa"/>
              <w:bottom w:w="0" w:type="dxa"/>
            </w:tcMar>
            <w:vAlign w:val="center"/>
          </w:tcPr>
          <w:p w14:paraId="098E8C5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Minimum dividend (% x charter capital)</w:t>
            </w:r>
          </w:p>
        </w:tc>
        <w:tc>
          <w:tcPr>
            <w:tcW w:w="1023" w:type="pct"/>
            <w:shd w:val="clear" w:color="auto" w:fill="auto"/>
            <w:tcMar>
              <w:top w:w="0" w:type="dxa"/>
              <w:bottom w:w="0" w:type="dxa"/>
            </w:tcMar>
            <w:vAlign w:val="center"/>
          </w:tcPr>
          <w:p w14:paraId="3CAAA22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7.8%</w:t>
            </w:r>
          </w:p>
        </w:tc>
        <w:tc>
          <w:tcPr>
            <w:tcW w:w="954" w:type="pct"/>
            <w:shd w:val="clear" w:color="auto" w:fill="auto"/>
            <w:tcMar>
              <w:top w:w="0" w:type="dxa"/>
              <w:bottom w:w="0" w:type="dxa"/>
            </w:tcMar>
            <w:vAlign w:val="center"/>
          </w:tcPr>
          <w:p w14:paraId="791B5CA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6.8%</w:t>
            </w:r>
          </w:p>
        </w:tc>
        <w:tc>
          <w:tcPr>
            <w:tcW w:w="949" w:type="pct"/>
            <w:shd w:val="clear" w:color="auto" w:fill="auto"/>
            <w:tcMar>
              <w:top w:w="0" w:type="dxa"/>
              <w:bottom w:w="0" w:type="dxa"/>
            </w:tcMar>
            <w:vAlign w:val="center"/>
          </w:tcPr>
          <w:p w14:paraId="29BE4C2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87.18%</w:t>
            </w:r>
          </w:p>
        </w:tc>
      </w:tr>
    </w:tbl>
    <w:p w14:paraId="125E473C" w14:textId="1AC52340"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Note: Profit after tax </w:t>
      </w:r>
      <w:r w:rsidR="00817FD9" w:rsidRPr="00562C37">
        <w:rPr>
          <w:rFonts w:ascii="Arial" w:hAnsi="Arial" w:cs="Arial"/>
          <w:color w:val="010000"/>
          <w:sz w:val="20"/>
        </w:rPr>
        <w:t>after appropriating for</w:t>
      </w:r>
      <w:r w:rsidRPr="00562C37">
        <w:rPr>
          <w:rFonts w:ascii="Arial" w:hAnsi="Arial" w:cs="Arial"/>
          <w:color w:val="010000"/>
          <w:sz w:val="20"/>
        </w:rPr>
        <w:t xml:space="preserve"> Science and Technology fund.</w:t>
      </w:r>
    </w:p>
    <w:p w14:paraId="45DF8CE8" w14:textId="2BCBDC5D"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‎‎Article 3. Approve the Report on the activities of the Supervisory Board in 2023 and the plan for 2023</w:t>
      </w:r>
    </w:p>
    <w:p w14:paraId="2C2D7E6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‎‎Article 4. Approve the Audited Financial Statements 2023 (Document attached)</w:t>
      </w:r>
    </w:p>
    <w:p w14:paraId="6856A18F" w14:textId="001C9334"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‎‎Articl</w:t>
      </w:r>
      <w:r w:rsidR="005F4F2D">
        <w:rPr>
          <w:rFonts w:ascii="Arial" w:hAnsi="Arial" w:cs="Arial"/>
          <w:color w:val="010000"/>
          <w:sz w:val="20"/>
        </w:rPr>
        <w:t>e 5. Approve the Proposal on</w:t>
      </w:r>
      <w:r w:rsidRPr="00562C37">
        <w:rPr>
          <w:rFonts w:ascii="Arial" w:hAnsi="Arial" w:cs="Arial"/>
          <w:color w:val="010000"/>
          <w:sz w:val="20"/>
        </w:rPr>
        <w:t xml:space="preserve"> implementation of profit distribution in 2023 with the following content:</w:t>
      </w:r>
    </w:p>
    <w:p w14:paraId="5E80E5FB" w14:textId="77777777" w:rsidR="00377650" w:rsidRPr="00562C37" w:rsidRDefault="00113863" w:rsidP="00113863">
      <w:pPr>
        <w:keepNext/>
        <w:widowControl w:val="0"/>
        <w:numPr>
          <w:ilvl w:val="0"/>
          <w:numId w:val="6"/>
        </w:numPr>
        <w:pBdr>
          <w:top w:val="nil"/>
          <w:left w:val="nil"/>
          <w:bottom w:val="nil"/>
          <w:right w:val="nil"/>
          <w:between w:val="nil"/>
        </w:pBdr>
        <w:tabs>
          <w:tab w:val="left" w:pos="432"/>
          <w:tab w:val="left" w:pos="666"/>
        </w:tabs>
        <w:spacing w:after="120" w:line="360" w:lineRule="auto"/>
        <w:rPr>
          <w:rFonts w:ascii="Arial" w:eastAsia="Arial" w:hAnsi="Arial" w:cs="Arial"/>
          <w:color w:val="010000"/>
          <w:sz w:val="20"/>
          <w:szCs w:val="20"/>
        </w:rPr>
      </w:pPr>
      <w:r w:rsidRPr="00562C37">
        <w:rPr>
          <w:rFonts w:ascii="Arial" w:hAnsi="Arial" w:cs="Arial"/>
          <w:color w:val="010000"/>
          <w:sz w:val="20"/>
        </w:rPr>
        <w:lastRenderedPageBreak/>
        <w:t>Implement profit distribution in 2023:</w:t>
      </w:r>
    </w:p>
    <w:p w14:paraId="1203B1C4" w14:textId="77777777" w:rsidR="00377650" w:rsidRPr="00562C37" w:rsidRDefault="00113863" w:rsidP="00113863">
      <w:pPr>
        <w:widowControl w:val="0"/>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62C37">
        <w:rPr>
          <w:rFonts w:ascii="Arial" w:hAnsi="Arial" w:cs="Arial"/>
          <w:color w:val="010000"/>
          <w:sz w:val="20"/>
        </w:rPr>
        <w:t>Activity results in 2023</w:t>
      </w:r>
    </w:p>
    <w:p w14:paraId="32C76F0A"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
        <w:gridCol w:w="2905"/>
        <w:gridCol w:w="2678"/>
        <w:gridCol w:w="2701"/>
      </w:tblGrid>
      <w:tr w:rsidR="00377650" w:rsidRPr="00562C37" w14:paraId="7A5DC4C7" w14:textId="77777777" w:rsidTr="00113863">
        <w:tc>
          <w:tcPr>
            <w:tcW w:w="406" w:type="pct"/>
            <w:shd w:val="clear" w:color="auto" w:fill="auto"/>
            <w:tcMar>
              <w:top w:w="0" w:type="dxa"/>
              <w:bottom w:w="0" w:type="dxa"/>
            </w:tcMar>
            <w:vAlign w:val="center"/>
          </w:tcPr>
          <w:p w14:paraId="27FBAD5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1611" w:type="pct"/>
            <w:shd w:val="clear" w:color="auto" w:fill="auto"/>
            <w:tcMar>
              <w:top w:w="0" w:type="dxa"/>
              <w:bottom w:w="0" w:type="dxa"/>
            </w:tcMar>
            <w:vAlign w:val="center"/>
          </w:tcPr>
          <w:p w14:paraId="7D36EE1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Target</w:t>
            </w:r>
          </w:p>
        </w:tc>
        <w:tc>
          <w:tcPr>
            <w:tcW w:w="1485" w:type="pct"/>
            <w:shd w:val="clear" w:color="auto" w:fill="auto"/>
            <w:tcMar>
              <w:top w:w="0" w:type="dxa"/>
              <w:bottom w:w="0" w:type="dxa"/>
            </w:tcMar>
            <w:vAlign w:val="center"/>
          </w:tcPr>
          <w:p w14:paraId="3F584391" w14:textId="650003DF"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According to </w:t>
            </w:r>
            <w:r w:rsidR="00817FD9" w:rsidRPr="00562C37">
              <w:rPr>
                <w:rFonts w:ascii="Arial" w:hAnsi="Arial" w:cs="Arial"/>
                <w:color w:val="010000"/>
                <w:sz w:val="20"/>
              </w:rPr>
              <w:t xml:space="preserve">Audited Financial Statements 2023 </w:t>
            </w:r>
            <w:r w:rsidRPr="00562C37">
              <w:rPr>
                <w:rFonts w:ascii="Arial" w:hAnsi="Arial" w:cs="Arial"/>
                <w:color w:val="010000"/>
                <w:sz w:val="20"/>
              </w:rPr>
              <w:t>(</w:t>
            </w:r>
            <w:r w:rsidR="00817FD9" w:rsidRPr="00562C37">
              <w:rPr>
                <w:rFonts w:ascii="Arial" w:hAnsi="Arial" w:cs="Arial"/>
                <w:color w:val="010000"/>
                <w:sz w:val="20"/>
              </w:rPr>
              <w:t xml:space="preserve">Holding </w:t>
            </w:r>
            <w:r w:rsidRPr="00562C37">
              <w:rPr>
                <w:rFonts w:ascii="Arial" w:hAnsi="Arial" w:cs="Arial"/>
                <w:color w:val="010000"/>
                <w:sz w:val="20"/>
              </w:rPr>
              <w:t xml:space="preserve">company - </w:t>
            </w:r>
            <w:r w:rsidR="00817FD9" w:rsidRPr="00562C37">
              <w:rPr>
                <w:rFonts w:ascii="Arial" w:hAnsi="Arial" w:cs="Arial"/>
                <w:color w:val="010000"/>
                <w:sz w:val="20"/>
              </w:rPr>
              <w:t>Separate Financial Statements</w:t>
            </w:r>
            <w:r w:rsidRPr="00562C37">
              <w:rPr>
                <w:rFonts w:ascii="Arial" w:hAnsi="Arial" w:cs="Arial"/>
                <w:color w:val="010000"/>
                <w:sz w:val="20"/>
              </w:rPr>
              <w:t>)</w:t>
            </w:r>
          </w:p>
        </w:tc>
        <w:tc>
          <w:tcPr>
            <w:tcW w:w="1498" w:type="pct"/>
            <w:shd w:val="clear" w:color="auto" w:fill="auto"/>
            <w:tcMar>
              <w:top w:w="0" w:type="dxa"/>
              <w:bottom w:w="0" w:type="dxa"/>
            </w:tcMar>
            <w:vAlign w:val="center"/>
          </w:tcPr>
          <w:p w14:paraId="3824E479" w14:textId="65A987BA"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According to </w:t>
            </w:r>
            <w:r w:rsidR="00817FD9" w:rsidRPr="00562C37">
              <w:rPr>
                <w:rFonts w:ascii="Arial" w:hAnsi="Arial" w:cs="Arial"/>
                <w:color w:val="010000"/>
                <w:sz w:val="20"/>
              </w:rPr>
              <w:t>Audited Financial Statements</w:t>
            </w:r>
            <w:r w:rsidRPr="00562C37">
              <w:rPr>
                <w:rFonts w:ascii="Arial" w:hAnsi="Arial" w:cs="Arial"/>
                <w:color w:val="010000"/>
                <w:sz w:val="20"/>
              </w:rPr>
              <w:t xml:space="preserve"> 2023 (consolidated)</w:t>
            </w:r>
          </w:p>
        </w:tc>
      </w:tr>
      <w:tr w:rsidR="00377650" w:rsidRPr="00562C37" w14:paraId="725173DC" w14:textId="77777777" w:rsidTr="00113863">
        <w:tc>
          <w:tcPr>
            <w:tcW w:w="406" w:type="pct"/>
            <w:shd w:val="clear" w:color="auto" w:fill="auto"/>
            <w:tcMar>
              <w:top w:w="0" w:type="dxa"/>
              <w:bottom w:w="0" w:type="dxa"/>
            </w:tcMar>
            <w:vAlign w:val="center"/>
          </w:tcPr>
          <w:p w14:paraId="7A5309CA"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1611" w:type="pct"/>
            <w:shd w:val="clear" w:color="auto" w:fill="auto"/>
            <w:tcMar>
              <w:top w:w="0" w:type="dxa"/>
              <w:bottom w:w="0" w:type="dxa"/>
            </w:tcMar>
            <w:vAlign w:val="center"/>
          </w:tcPr>
          <w:p w14:paraId="5EAB823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before tax</w:t>
            </w:r>
          </w:p>
        </w:tc>
        <w:tc>
          <w:tcPr>
            <w:tcW w:w="1485" w:type="pct"/>
            <w:shd w:val="clear" w:color="auto" w:fill="auto"/>
            <w:tcMar>
              <w:top w:w="0" w:type="dxa"/>
              <w:bottom w:w="0" w:type="dxa"/>
            </w:tcMar>
            <w:vAlign w:val="center"/>
          </w:tcPr>
          <w:p w14:paraId="74AE7CB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35,125,259,325</w:t>
            </w:r>
          </w:p>
        </w:tc>
        <w:tc>
          <w:tcPr>
            <w:tcW w:w="1498" w:type="pct"/>
            <w:shd w:val="clear" w:color="auto" w:fill="auto"/>
            <w:tcMar>
              <w:top w:w="0" w:type="dxa"/>
              <w:bottom w:w="0" w:type="dxa"/>
            </w:tcMar>
            <w:vAlign w:val="center"/>
          </w:tcPr>
          <w:p w14:paraId="64F3A6C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35,277,913,657</w:t>
            </w:r>
          </w:p>
        </w:tc>
      </w:tr>
      <w:tr w:rsidR="00377650" w:rsidRPr="00562C37" w14:paraId="46D78649" w14:textId="77777777" w:rsidTr="00113863">
        <w:tc>
          <w:tcPr>
            <w:tcW w:w="406" w:type="pct"/>
            <w:shd w:val="clear" w:color="auto" w:fill="auto"/>
            <w:tcMar>
              <w:top w:w="0" w:type="dxa"/>
              <w:bottom w:w="0" w:type="dxa"/>
            </w:tcMar>
            <w:vAlign w:val="center"/>
          </w:tcPr>
          <w:p w14:paraId="39D6A3C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1611" w:type="pct"/>
            <w:shd w:val="clear" w:color="auto" w:fill="auto"/>
            <w:tcMar>
              <w:top w:w="0" w:type="dxa"/>
              <w:bottom w:w="0" w:type="dxa"/>
            </w:tcMar>
            <w:vAlign w:val="center"/>
          </w:tcPr>
          <w:p w14:paraId="7A55CFA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Current corporate income tax</w:t>
            </w:r>
          </w:p>
        </w:tc>
        <w:tc>
          <w:tcPr>
            <w:tcW w:w="1485" w:type="pct"/>
            <w:shd w:val="clear" w:color="auto" w:fill="auto"/>
            <w:tcMar>
              <w:top w:w="0" w:type="dxa"/>
              <w:bottom w:w="0" w:type="dxa"/>
            </w:tcMar>
            <w:vAlign w:val="center"/>
          </w:tcPr>
          <w:p w14:paraId="490C02A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6,754,313,033</w:t>
            </w:r>
          </w:p>
        </w:tc>
        <w:tc>
          <w:tcPr>
            <w:tcW w:w="1498" w:type="pct"/>
            <w:shd w:val="clear" w:color="auto" w:fill="auto"/>
            <w:tcMar>
              <w:top w:w="0" w:type="dxa"/>
              <w:bottom w:w="0" w:type="dxa"/>
            </w:tcMar>
            <w:vAlign w:val="center"/>
          </w:tcPr>
          <w:p w14:paraId="6CCE712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6,818,924,796</w:t>
            </w:r>
          </w:p>
        </w:tc>
      </w:tr>
      <w:tr w:rsidR="00377650" w:rsidRPr="00562C37" w14:paraId="2F97186B" w14:textId="77777777" w:rsidTr="00113863">
        <w:tc>
          <w:tcPr>
            <w:tcW w:w="406" w:type="pct"/>
            <w:shd w:val="clear" w:color="auto" w:fill="auto"/>
            <w:tcMar>
              <w:top w:w="0" w:type="dxa"/>
              <w:bottom w:w="0" w:type="dxa"/>
            </w:tcMar>
            <w:vAlign w:val="center"/>
          </w:tcPr>
          <w:p w14:paraId="5547837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1611" w:type="pct"/>
            <w:shd w:val="clear" w:color="auto" w:fill="auto"/>
            <w:tcMar>
              <w:top w:w="0" w:type="dxa"/>
              <w:bottom w:w="0" w:type="dxa"/>
            </w:tcMar>
            <w:vAlign w:val="center"/>
          </w:tcPr>
          <w:p w14:paraId="338A9FF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after tax</w:t>
            </w:r>
          </w:p>
        </w:tc>
        <w:tc>
          <w:tcPr>
            <w:tcW w:w="1485" w:type="pct"/>
            <w:shd w:val="clear" w:color="auto" w:fill="auto"/>
            <w:tcMar>
              <w:top w:w="0" w:type="dxa"/>
              <w:bottom w:w="0" w:type="dxa"/>
            </w:tcMar>
            <w:vAlign w:val="center"/>
          </w:tcPr>
          <w:p w14:paraId="682730ED"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27,095,946,292</w:t>
            </w:r>
          </w:p>
        </w:tc>
        <w:tc>
          <w:tcPr>
            <w:tcW w:w="1498" w:type="pct"/>
            <w:shd w:val="clear" w:color="auto" w:fill="auto"/>
            <w:tcMar>
              <w:top w:w="0" w:type="dxa"/>
              <w:bottom w:w="0" w:type="dxa"/>
            </w:tcMar>
            <w:vAlign w:val="center"/>
          </w:tcPr>
          <w:p w14:paraId="428CD36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27,183,988,861</w:t>
            </w:r>
          </w:p>
        </w:tc>
      </w:tr>
    </w:tbl>
    <w:p w14:paraId="5290A054" w14:textId="77777777" w:rsidR="00377650" w:rsidRPr="00562C37" w:rsidRDefault="00113863" w:rsidP="00113863">
      <w:pPr>
        <w:widowControl w:val="0"/>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62C37">
        <w:rPr>
          <w:rFonts w:ascii="Arial" w:hAnsi="Arial" w:cs="Arial"/>
          <w:color w:val="010000"/>
          <w:sz w:val="20"/>
        </w:rPr>
        <w:t>Profits in 2023 are distributed as follows:</w:t>
      </w:r>
    </w:p>
    <w:p w14:paraId="1163A01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
        <w:gridCol w:w="6384"/>
        <w:gridCol w:w="1931"/>
      </w:tblGrid>
      <w:tr w:rsidR="00377650" w:rsidRPr="00562C37" w14:paraId="128271A2" w14:textId="77777777" w:rsidTr="00113863">
        <w:tc>
          <w:tcPr>
            <w:tcW w:w="389" w:type="pct"/>
            <w:shd w:val="clear" w:color="auto" w:fill="auto"/>
            <w:tcMar>
              <w:top w:w="0" w:type="dxa"/>
              <w:bottom w:w="0" w:type="dxa"/>
            </w:tcMar>
            <w:vAlign w:val="center"/>
          </w:tcPr>
          <w:p w14:paraId="3601699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3540" w:type="pct"/>
            <w:shd w:val="clear" w:color="auto" w:fill="auto"/>
            <w:tcMar>
              <w:top w:w="0" w:type="dxa"/>
              <w:bottom w:w="0" w:type="dxa"/>
            </w:tcMar>
            <w:vAlign w:val="center"/>
          </w:tcPr>
          <w:p w14:paraId="6F3BF05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Target</w:t>
            </w:r>
          </w:p>
        </w:tc>
        <w:tc>
          <w:tcPr>
            <w:tcW w:w="1071" w:type="pct"/>
            <w:shd w:val="clear" w:color="auto" w:fill="auto"/>
            <w:tcMar>
              <w:top w:w="0" w:type="dxa"/>
              <w:bottom w:w="0" w:type="dxa"/>
            </w:tcMar>
            <w:vAlign w:val="center"/>
          </w:tcPr>
          <w:p w14:paraId="6980EFF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Amount</w:t>
            </w:r>
          </w:p>
        </w:tc>
      </w:tr>
      <w:tr w:rsidR="00377650" w:rsidRPr="00562C37" w14:paraId="1D8E85F0" w14:textId="77777777" w:rsidTr="00113863">
        <w:tc>
          <w:tcPr>
            <w:tcW w:w="389" w:type="pct"/>
            <w:shd w:val="clear" w:color="auto" w:fill="auto"/>
            <w:tcMar>
              <w:top w:w="0" w:type="dxa"/>
              <w:bottom w:w="0" w:type="dxa"/>
            </w:tcMar>
            <w:vAlign w:val="center"/>
          </w:tcPr>
          <w:p w14:paraId="314E0F5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w:t>
            </w:r>
          </w:p>
        </w:tc>
        <w:tc>
          <w:tcPr>
            <w:tcW w:w="3540" w:type="pct"/>
            <w:shd w:val="clear" w:color="auto" w:fill="auto"/>
            <w:tcMar>
              <w:top w:w="0" w:type="dxa"/>
              <w:bottom w:w="0" w:type="dxa"/>
            </w:tcMar>
            <w:vAlign w:val="center"/>
          </w:tcPr>
          <w:p w14:paraId="1AAF855A" w14:textId="3ADD0573"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Profit before tax has not been </w:t>
            </w:r>
            <w:r w:rsidR="00817FD9" w:rsidRPr="00562C37">
              <w:rPr>
                <w:rFonts w:ascii="Arial" w:hAnsi="Arial" w:cs="Arial"/>
                <w:color w:val="010000"/>
                <w:sz w:val="20"/>
              </w:rPr>
              <w:t>a</w:t>
            </w:r>
            <w:r w:rsidRPr="00562C37">
              <w:rPr>
                <w:rFonts w:ascii="Arial" w:hAnsi="Arial" w:cs="Arial"/>
                <w:color w:val="010000"/>
                <w:sz w:val="20"/>
              </w:rPr>
              <w:t>ppropriated f</w:t>
            </w:r>
            <w:r w:rsidR="00817FD9" w:rsidRPr="00562C37">
              <w:rPr>
                <w:rFonts w:ascii="Arial" w:hAnsi="Arial" w:cs="Arial"/>
                <w:color w:val="010000"/>
                <w:sz w:val="20"/>
              </w:rPr>
              <w:t>or</w:t>
            </w:r>
            <w:r w:rsidRPr="00562C37">
              <w:rPr>
                <w:rFonts w:ascii="Arial" w:hAnsi="Arial" w:cs="Arial"/>
                <w:color w:val="010000"/>
                <w:sz w:val="20"/>
              </w:rPr>
              <w:t xml:space="preserve"> the science and technology fund</w:t>
            </w:r>
          </w:p>
        </w:tc>
        <w:tc>
          <w:tcPr>
            <w:tcW w:w="1071" w:type="pct"/>
            <w:shd w:val="clear" w:color="auto" w:fill="auto"/>
            <w:tcMar>
              <w:top w:w="0" w:type="dxa"/>
              <w:bottom w:w="0" w:type="dxa"/>
            </w:tcMar>
            <w:vAlign w:val="center"/>
          </w:tcPr>
          <w:p w14:paraId="5A9B942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35,125,259,325</w:t>
            </w:r>
          </w:p>
        </w:tc>
      </w:tr>
      <w:tr w:rsidR="00377650" w:rsidRPr="00562C37" w14:paraId="7729D9F0" w14:textId="77777777" w:rsidTr="00113863">
        <w:tc>
          <w:tcPr>
            <w:tcW w:w="389" w:type="pct"/>
            <w:shd w:val="clear" w:color="auto" w:fill="auto"/>
            <w:tcMar>
              <w:top w:w="0" w:type="dxa"/>
              <w:bottom w:w="0" w:type="dxa"/>
            </w:tcMar>
            <w:vAlign w:val="center"/>
          </w:tcPr>
          <w:p w14:paraId="7FB51AC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II</w:t>
            </w:r>
          </w:p>
        </w:tc>
        <w:tc>
          <w:tcPr>
            <w:tcW w:w="3540" w:type="pct"/>
            <w:shd w:val="clear" w:color="auto" w:fill="auto"/>
            <w:tcMar>
              <w:top w:w="0" w:type="dxa"/>
              <w:bottom w:w="0" w:type="dxa"/>
            </w:tcMar>
            <w:vAlign w:val="center"/>
          </w:tcPr>
          <w:p w14:paraId="61D064C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science and technology fund 3.64%</w:t>
            </w:r>
          </w:p>
        </w:tc>
        <w:tc>
          <w:tcPr>
            <w:tcW w:w="1071" w:type="pct"/>
            <w:shd w:val="clear" w:color="auto" w:fill="auto"/>
            <w:tcMar>
              <w:top w:w="0" w:type="dxa"/>
              <w:bottom w:w="0" w:type="dxa"/>
            </w:tcMar>
            <w:vAlign w:val="center"/>
          </w:tcPr>
          <w:p w14:paraId="12B6500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1,275,000,000</w:t>
            </w:r>
          </w:p>
        </w:tc>
      </w:tr>
      <w:tr w:rsidR="00377650" w:rsidRPr="00562C37" w14:paraId="2188483D" w14:textId="77777777" w:rsidTr="00113863">
        <w:tc>
          <w:tcPr>
            <w:tcW w:w="389" w:type="pct"/>
            <w:shd w:val="clear" w:color="auto" w:fill="auto"/>
            <w:tcMar>
              <w:top w:w="0" w:type="dxa"/>
              <w:bottom w:w="0" w:type="dxa"/>
            </w:tcMar>
            <w:vAlign w:val="center"/>
          </w:tcPr>
          <w:p w14:paraId="1B9AB68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III</w:t>
            </w:r>
          </w:p>
        </w:tc>
        <w:tc>
          <w:tcPr>
            <w:tcW w:w="3540" w:type="pct"/>
            <w:shd w:val="clear" w:color="auto" w:fill="auto"/>
            <w:tcMar>
              <w:top w:w="0" w:type="dxa"/>
              <w:bottom w:w="0" w:type="dxa"/>
            </w:tcMar>
            <w:vAlign w:val="center"/>
          </w:tcPr>
          <w:p w14:paraId="19588FD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after tax according to Independent Audit (distributed)</w:t>
            </w:r>
          </w:p>
        </w:tc>
        <w:tc>
          <w:tcPr>
            <w:tcW w:w="1071" w:type="pct"/>
            <w:shd w:val="clear" w:color="auto" w:fill="auto"/>
            <w:tcMar>
              <w:top w:w="0" w:type="dxa"/>
              <w:bottom w:w="0" w:type="dxa"/>
            </w:tcMar>
            <w:vAlign w:val="center"/>
          </w:tcPr>
          <w:p w14:paraId="7592F32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27,095,946,292</w:t>
            </w:r>
          </w:p>
        </w:tc>
      </w:tr>
      <w:tr w:rsidR="00377650" w:rsidRPr="00562C37" w14:paraId="7935A06B" w14:textId="77777777" w:rsidTr="00113863">
        <w:tc>
          <w:tcPr>
            <w:tcW w:w="389" w:type="pct"/>
            <w:shd w:val="clear" w:color="auto" w:fill="auto"/>
            <w:tcMar>
              <w:top w:w="0" w:type="dxa"/>
              <w:bottom w:w="0" w:type="dxa"/>
            </w:tcMar>
            <w:vAlign w:val="center"/>
          </w:tcPr>
          <w:p w14:paraId="044810E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3540" w:type="pct"/>
            <w:shd w:val="clear" w:color="auto" w:fill="auto"/>
            <w:tcMar>
              <w:top w:w="0" w:type="dxa"/>
              <w:bottom w:w="0" w:type="dxa"/>
            </w:tcMar>
            <w:vAlign w:val="center"/>
          </w:tcPr>
          <w:p w14:paraId="5BBC0424" w14:textId="285B04ED" w:rsidR="00377650" w:rsidRPr="00562C37" w:rsidRDefault="00817FD9"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Pay</w:t>
            </w:r>
            <w:r w:rsidR="00113863" w:rsidRPr="00562C37">
              <w:rPr>
                <w:rFonts w:ascii="Arial" w:hAnsi="Arial" w:cs="Arial"/>
                <w:color w:val="010000"/>
                <w:sz w:val="20"/>
              </w:rPr>
              <w:t xml:space="preserve"> profits to affiliated capital contributors according to the provisions of the signed economic contract (if any)</w:t>
            </w:r>
          </w:p>
        </w:tc>
        <w:tc>
          <w:tcPr>
            <w:tcW w:w="1071" w:type="pct"/>
            <w:shd w:val="clear" w:color="auto" w:fill="auto"/>
            <w:tcMar>
              <w:top w:w="0" w:type="dxa"/>
              <w:bottom w:w="0" w:type="dxa"/>
            </w:tcMar>
            <w:vAlign w:val="center"/>
          </w:tcPr>
          <w:p w14:paraId="56F7BDB5"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r>
      <w:tr w:rsidR="00377650" w:rsidRPr="00562C37" w14:paraId="369738FB" w14:textId="77777777" w:rsidTr="00113863">
        <w:tc>
          <w:tcPr>
            <w:tcW w:w="389" w:type="pct"/>
            <w:shd w:val="clear" w:color="auto" w:fill="auto"/>
            <w:tcMar>
              <w:top w:w="0" w:type="dxa"/>
              <w:bottom w:w="0" w:type="dxa"/>
            </w:tcMar>
            <w:vAlign w:val="center"/>
          </w:tcPr>
          <w:p w14:paraId="195816A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3540" w:type="pct"/>
            <w:shd w:val="clear" w:color="auto" w:fill="auto"/>
            <w:tcMar>
              <w:top w:w="0" w:type="dxa"/>
              <w:bottom w:w="0" w:type="dxa"/>
            </w:tcMar>
            <w:vAlign w:val="center"/>
          </w:tcPr>
          <w:p w14:paraId="63696F7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Offset the loss of previous years has expired, which is deducted from profit before tax according to the regulations.</w:t>
            </w:r>
          </w:p>
        </w:tc>
        <w:tc>
          <w:tcPr>
            <w:tcW w:w="1071" w:type="pct"/>
            <w:shd w:val="clear" w:color="auto" w:fill="auto"/>
            <w:tcMar>
              <w:top w:w="0" w:type="dxa"/>
              <w:bottom w:w="0" w:type="dxa"/>
            </w:tcMar>
            <w:vAlign w:val="center"/>
          </w:tcPr>
          <w:p w14:paraId="5EE5F28F"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r>
      <w:tr w:rsidR="00377650" w:rsidRPr="00562C37" w14:paraId="115CFE0A" w14:textId="77777777" w:rsidTr="00113863">
        <w:tc>
          <w:tcPr>
            <w:tcW w:w="389" w:type="pct"/>
            <w:shd w:val="clear" w:color="auto" w:fill="auto"/>
            <w:tcMar>
              <w:top w:w="0" w:type="dxa"/>
              <w:bottom w:w="0" w:type="dxa"/>
            </w:tcMar>
            <w:vAlign w:val="center"/>
          </w:tcPr>
          <w:p w14:paraId="6271D7A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3540" w:type="pct"/>
            <w:shd w:val="clear" w:color="auto" w:fill="auto"/>
            <w:tcMar>
              <w:top w:w="0" w:type="dxa"/>
              <w:bottom w:w="0" w:type="dxa"/>
            </w:tcMar>
            <w:vAlign w:val="center"/>
          </w:tcPr>
          <w:p w14:paraId="446A7BF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business investment and development fund:</w:t>
            </w:r>
          </w:p>
        </w:tc>
        <w:tc>
          <w:tcPr>
            <w:tcW w:w="1071" w:type="pct"/>
            <w:shd w:val="clear" w:color="auto" w:fill="auto"/>
            <w:tcMar>
              <w:top w:w="0" w:type="dxa"/>
              <w:bottom w:w="0" w:type="dxa"/>
            </w:tcMar>
            <w:vAlign w:val="center"/>
          </w:tcPr>
          <w:p w14:paraId="44231803"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r>
      <w:tr w:rsidR="00377650" w:rsidRPr="00562C37" w14:paraId="3D33B10E" w14:textId="77777777" w:rsidTr="00113863">
        <w:tc>
          <w:tcPr>
            <w:tcW w:w="389" w:type="pct"/>
            <w:shd w:val="clear" w:color="auto" w:fill="auto"/>
            <w:tcMar>
              <w:top w:w="0" w:type="dxa"/>
              <w:bottom w:w="0" w:type="dxa"/>
            </w:tcMar>
            <w:vAlign w:val="center"/>
          </w:tcPr>
          <w:p w14:paraId="378A7C0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w:t>
            </w:r>
          </w:p>
        </w:tc>
        <w:tc>
          <w:tcPr>
            <w:tcW w:w="3540" w:type="pct"/>
            <w:shd w:val="clear" w:color="auto" w:fill="auto"/>
            <w:tcMar>
              <w:top w:w="0" w:type="dxa"/>
              <w:bottom w:w="0" w:type="dxa"/>
            </w:tcMar>
            <w:vAlign w:val="center"/>
          </w:tcPr>
          <w:p w14:paraId="56C513CD"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bonus and welfare funds</w:t>
            </w:r>
          </w:p>
        </w:tc>
        <w:tc>
          <w:tcPr>
            <w:tcW w:w="1071" w:type="pct"/>
            <w:shd w:val="clear" w:color="auto" w:fill="auto"/>
            <w:tcMar>
              <w:top w:w="0" w:type="dxa"/>
              <w:bottom w:w="0" w:type="dxa"/>
            </w:tcMar>
            <w:vAlign w:val="center"/>
          </w:tcPr>
          <w:p w14:paraId="6195719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4,296,135,092</w:t>
            </w:r>
          </w:p>
        </w:tc>
      </w:tr>
      <w:tr w:rsidR="00377650" w:rsidRPr="00562C37" w14:paraId="1D0F2FC9" w14:textId="77777777" w:rsidTr="00113863">
        <w:tc>
          <w:tcPr>
            <w:tcW w:w="389" w:type="pct"/>
            <w:shd w:val="clear" w:color="auto" w:fill="auto"/>
            <w:tcMar>
              <w:top w:w="0" w:type="dxa"/>
              <w:bottom w:w="0" w:type="dxa"/>
            </w:tcMar>
            <w:vAlign w:val="center"/>
          </w:tcPr>
          <w:p w14:paraId="031C41F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w:t>
            </w:r>
          </w:p>
        </w:tc>
        <w:tc>
          <w:tcPr>
            <w:tcW w:w="3540" w:type="pct"/>
            <w:shd w:val="clear" w:color="auto" w:fill="auto"/>
            <w:tcMar>
              <w:top w:w="0" w:type="dxa"/>
              <w:bottom w:w="0" w:type="dxa"/>
            </w:tcMar>
            <w:vAlign w:val="center"/>
          </w:tcPr>
          <w:p w14:paraId="6E1AD546" w14:textId="5A70D063" w:rsidR="00377650" w:rsidRPr="00562C37" w:rsidRDefault="00817FD9"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w:t>
            </w:r>
            <w:r w:rsidR="00113863" w:rsidRPr="00562C37">
              <w:rPr>
                <w:rFonts w:ascii="Arial" w:hAnsi="Arial" w:cs="Arial"/>
                <w:color w:val="010000"/>
                <w:sz w:val="20"/>
              </w:rPr>
              <w:t>onus and welfare fund</w:t>
            </w:r>
            <w:r w:rsidRPr="00562C37">
              <w:rPr>
                <w:rFonts w:ascii="Arial" w:hAnsi="Arial" w:cs="Arial"/>
                <w:color w:val="010000"/>
                <w:sz w:val="20"/>
              </w:rPr>
              <w:t xml:space="preserve"> for employees</w:t>
            </w:r>
            <w:r w:rsidR="00113863" w:rsidRPr="00562C37">
              <w:rPr>
                <w:rFonts w:ascii="Arial" w:hAnsi="Arial" w:cs="Arial"/>
                <w:color w:val="010000"/>
                <w:sz w:val="20"/>
              </w:rPr>
              <w:t xml:space="preserve"> (75% of bonus and welfare fund)</w:t>
            </w:r>
          </w:p>
        </w:tc>
        <w:tc>
          <w:tcPr>
            <w:tcW w:w="1071" w:type="pct"/>
            <w:shd w:val="clear" w:color="auto" w:fill="auto"/>
            <w:tcMar>
              <w:top w:w="0" w:type="dxa"/>
              <w:bottom w:w="0" w:type="dxa"/>
            </w:tcMar>
            <w:vAlign w:val="center"/>
          </w:tcPr>
          <w:p w14:paraId="1674E20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3,222,101,319</w:t>
            </w:r>
          </w:p>
        </w:tc>
      </w:tr>
      <w:tr w:rsidR="00377650" w:rsidRPr="00562C37" w14:paraId="22A5E96C" w14:textId="77777777" w:rsidTr="00113863">
        <w:tc>
          <w:tcPr>
            <w:tcW w:w="389" w:type="pct"/>
            <w:shd w:val="clear" w:color="auto" w:fill="auto"/>
            <w:tcMar>
              <w:top w:w="0" w:type="dxa"/>
              <w:bottom w:w="0" w:type="dxa"/>
            </w:tcMar>
            <w:vAlign w:val="center"/>
          </w:tcPr>
          <w:p w14:paraId="6AA8E95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a.1</w:t>
            </w:r>
          </w:p>
        </w:tc>
        <w:tc>
          <w:tcPr>
            <w:tcW w:w="3540" w:type="pct"/>
            <w:shd w:val="clear" w:color="auto" w:fill="auto"/>
            <w:tcMar>
              <w:top w:w="0" w:type="dxa"/>
              <w:bottom w:w="0" w:type="dxa"/>
            </w:tcMar>
            <w:vAlign w:val="center"/>
          </w:tcPr>
          <w:p w14:paraId="6D0BA43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Bonus fund</w:t>
            </w:r>
          </w:p>
        </w:tc>
        <w:tc>
          <w:tcPr>
            <w:tcW w:w="1071" w:type="pct"/>
            <w:shd w:val="clear" w:color="auto" w:fill="auto"/>
            <w:tcMar>
              <w:top w:w="0" w:type="dxa"/>
              <w:bottom w:w="0" w:type="dxa"/>
            </w:tcMar>
            <w:vAlign w:val="center"/>
          </w:tcPr>
          <w:p w14:paraId="72A7990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2,279,918,000</w:t>
            </w:r>
          </w:p>
        </w:tc>
      </w:tr>
      <w:tr w:rsidR="00377650" w:rsidRPr="00562C37" w14:paraId="4688F51B" w14:textId="77777777" w:rsidTr="00113863">
        <w:tc>
          <w:tcPr>
            <w:tcW w:w="389" w:type="pct"/>
            <w:shd w:val="clear" w:color="auto" w:fill="auto"/>
            <w:tcMar>
              <w:top w:w="0" w:type="dxa"/>
              <w:bottom w:w="0" w:type="dxa"/>
            </w:tcMar>
            <w:vAlign w:val="center"/>
          </w:tcPr>
          <w:p w14:paraId="51F8AC4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a.2</w:t>
            </w:r>
          </w:p>
        </w:tc>
        <w:tc>
          <w:tcPr>
            <w:tcW w:w="3540" w:type="pct"/>
            <w:shd w:val="clear" w:color="auto" w:fill="auto"/>
            <w:tcMar>
              <w:top w:w="0" w:type="dxa"/>
              <w:bottom w:w="0" w:type="dxa"/>
            </w:tcMar>
            <w:vAlign w:val="center"/>
          </w:tcPr>
          <w:p w14:paraId="4BF5E3AD"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Welfare fund:</w:t>
            </w:r>
          </w:p>
        </w:tc>
        <w:tc>
          <w:tcPr>
            <w:tcW w:w="1071" w:type="pct"/>
            <w:shd w:val="clear" w:color="auto" w:fill="auto"/>
            <w:tcMar>
              <w:top w:w="0" w:type="dxa"/>
              <w:bottom w:w="0" w:type="dxa"/>
            </w:tcMar>
            <w:vAlign w:val="center"/>
          </w:tcPr>
          <w:p w14:paraId="332C536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942,183,319</w:t>
            </w:r>
          </w:p>
        </w:tc>
      </w:tr>
      <w:tr w:rsidR="00377650" w:rsidRPr="00562C37" w14:paraId="5735BB39" w14:textId="77777777" w:rsidTr="00113863">
        <w:tc>
          <w:tcPr>
            <w:tcW w:w="389" w:type="pct"/>
            <w:shd w:val="clear" w:color="auto" w:fill="auto"/>
            <w:tcMar>
              <w:top w:w="0" w:type="dxa"/>
              <w:bottom w:w="0" w:type="dxa"/>
            </w:tcMar>
            <w:vAlign w:val="center"/>
          </w:tcPr>
          <w:p w14:paraId="0F2FE05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w:t>
            </w:r>
          </w:p>
        </w:tc>
        <w:tc>
          <w:tcPr>
            <w:tcW w:w="3540" w:type="pct"/>
            <w:shd w:val="clear" w:color="auto" w:fill="auto"/>
            <w:tcMar>
              <w:top w:w="0" w:type="dxa"/>
              <w:bottom w:w="0" w:type="dxa"/>
            </w:tcMar>
            <w:vAlign w:val="center"/>
          </w:tcPr>
          <w:p w14:paraId="3ABECAD7"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Bonus fund for managers (25% of bonus and welfare fund) (*)</w:t>
            </w:r>
          </w:p>
          <w:p w14:paraId="4478746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In which, Supervisory Board Bonus Fund: VND 309,346,940</w:t>
            </w:r>
          </w:p>
        </w:tc>
        <w:tc>
          <w:tcPr>
            <w:tcW w:w="1071" w:type="pct"/>
            <w:shd w:val="clear" w:color="auto" w:fill="auto"/>
            <w:tcMar>
              <w:top w:w="0" w:type="dxa"/>
              <w:bottom w:w="0" w:type="dxa"/>
            </w:tcMar>
            <w:vAlign w:val="center"/>
          </w:tcPr>
          <w:p w14:paraId="5C161BC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1,074,033,773</w:t>
            </w:r>
          </w:p>
        </w:tc>
      </w:tr>
      <w:tr w:rsidR="00377650" w:rsidRPr="00562C37" w14:paraId="31017BCE" w14:textId="77777777" w:rsidTr="00113863">
        <w:tc>
          <w:tcPr>
            <w:tcW w:w="389" w:type="pct"/>
            <w:shd w:val="clear" w:color="auto" w:fill="auto"/>
            <w:tcMar>
              <w:top w:w="0" w:type="dxa"/>
              <w:bottom w:w="0" w:type="dxa"/>
            </w:tcMar>
            <w:vAlign w:val="center"/>
          </w:tcPr>
          <w:p w14:paraId="435C708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5</w:t>
            </w:r>
          </w:p>
        </w:tc>
        <w:tc>
          <w:tcPr>
            <w:tcW w:w="3540" w:type="pct"/>
            <w:shd w:val="clear" w:color="auto" w:fill="auto"/>
            <w:tcMar>
              <w:top w:w="0" w:type="dxa"/>
              <w:bottom w:w="0" w:type="dxa"/>
            </w:tcMar>
            <w:vAlign w:val="center"/>
          </w:tcPr>
          <w:p w14:paraId="4C56617B" w14:textId="4D10EB32"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The remaining profit will </w:t>
            </w:r>
            <w:r w:rsidR="00817FD9" w:rsidRPr="00562C37">
              <w:rPr>
                <w:rFonts w:ascii="Arial" w:hAnsi="Arial" w:cs="Arial"/>
                <w:color w:val="010000"/>
                <w:sz w:val="20"/>
              </w:rPr>
              <w:t>be for dividend payment in cash (</w:t>
            </w:r>
            <w:r w:rsidRPr="00562C37">
              <w:rPr>
                <w:rFonts w:ascii="Arial" w:hAnsi="Arial" w:cs="Arial"/>
                <w:color w:val="010000"/>
                <w:sz w:val="20"/>
              </w:rPr>
              <w:t>8% of charter capital</w:t>
            </w:r>
            <w:r w:rsidR="00817FD9" w:rsidRPr="00562C37">
              <w:rPr>
                <w:rFonts w:ascii="Arial" w:hAnsi="Arial" w:cs="Arial"/>
                <w:color w:val="010000"/>
                <w:sz w:val="20"/>
              </w:rPr>
              <w:t>)</w:t>
            </w:r>
          </w:p>
        </w:tc>
        <w:tc>
          <w:tcPr>
            <w:tcW w:w="1071" w:type="pct"/>
            <w:shd w:val="clear" w:color="auto" w:fill="auto"/>
            <w:tcMar>
              <w:top w:w="0" w:type="dxa"/>
              <w:bottom w:w="0" w:type="dxa"/>
            </w:tcMar>
            <w:vAlign w:val="center"/>
          </w:tcPr>
          <w:p w14:paraId="28E6957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22,799,811,200</w:t>
            </w:r>
          </w:p>
        </w:tc>
      </w:tr>
    </w:tbl>
    <w:p w14:paraId="20F76BCC" w14:textId="4C3CEA5D"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 The Bonus Fund</w:t>
      </w:r>
      <w:r w:rsidR="00814CB0" w:rsidRPr="00562C37">
        <w:rPr>
          <w:rFonts w:ascii="Arial" w:hAnsi="Arial" w:cs="Arial"/>
          <w:color w:val="010000"/>
          <w:sz w:val="20"/>
        </w:rPr>
        <w:t xml:space="preserve"> for managers</w:t>
      </w:r>
      <w:r w:rsidRPr="00562C37">
        <w:rPr>
          <w:rFonts w:ascii="Arial" w:hAnsi="Arial" w:cs="Arial"/>
          <w:color w:val="010000"/>
          <w:sz w:val="20"/>
        </w:rPr>
        <w:t xml:space="preserve"> is distributed to the Compan</w:t>
      </w:r>
      <w:r w:rsidR="00814CB0" w:rsidRPr="00562C37">
        <w:rPr>
          <w:rFonts w:ascii="Arial" w:hAnsi="Arial" w:cs="Arial"/>
          <w:color w:val="010000"/>
          <w:sz w:val="20"/>
        </w:rPr>
        <w:t>y’s managers</w:t>
      </w:r>
      <w:r w:rsidRPr="00562C37">
        <w:rPr>
          <w:rFonts w:ascii="Arial" w:hAnsi="Arial" w:cs="Arial"/>
          <w:color w:val="010000"/>
          <w:sz w:val="20"/>
        </w:rPr>
        <w:t>, Deputy General Managers, Chief Accountant and Supervisory Board.</w:t>
      </w:r>
    </w:p>
    <w:p w14:paraId="4EEF4268" w14:textId="49CE3068"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lastRenderedPageBreak/>
        <w:t xml:space="preserve">The </w:t>
      </w:r>
      <w:r w:rsidR="005F4F2D">
        <w:rPr>
          <w:rFonts w:ascii="Arial" w:hAnsi="Arial" w:cs="Arial"/>
          <w:color w:val="010000"/>
          <w:sz w:val="20"/>
        </w:rPr>
        <w:t>Managing Director</w:t>
      </w:r>
      <w:r w:rsidRPr="00562C37">
        <w:rPr>
          <w:rFonts w:ascii="Arial" w:hAnsi="Arial" w:cs="Arial"/>
          <w:color w:val="010000"/>
          <w:sz w:val="20"/>
        </w:rPr>
        <w:t xml:space="preserve"> is allowed to proactively balance and regulate </w:t>
      </w:r>
      <w:r w:rsidR="00814CB0" w:rsidRPr="00562C37">
        <w:rPr>
          <w:rFonts w:ascii="Arial" w:hAnsi="Arial" w:cs="Arial"/>
          <w:color w:val="010000"/>
          <w:sz w:val="20"/>
        </w:rPr>
        <w:t>between</w:t>
      </w:r>
      <w:r w:rsidRPr="00562C37">
        <w:rPr>
          <w:rFonts w:ascii="Arial" w:hAnsi="Arial" w:cs="Arial"/>
          <w:color w:val="010000"/>
          <w:sz w:val="20"/>
        </w:rPr>
        <w:t xml:space="preserve"> Bonus </w:t>
      </w:r>
      <w:r w:rsidR="00814CB0" w:rsidRPr="00562C37">
        <w:rPr>
          <w:rFonts w:ascii="Arial" w:hAnsi="Arial" w:cs="Arial"/>
          <w:color w:val="010000"/>
          <w:sz w:val="20"/>
        </w:rPr>
        <w:t xml:space="preserve">Fund </w:t>
      </w:r>
      <w:r w:rsidRPr="00562C37">
        <w:rPr>
          <w:rFonts w:ascii="Arial" w:hAnsi="Arial" w:cs="Arial"/>
          <w:color w:val="010000"/>
          <w:sz w:val="20"/>
        </w:rPr>
        <w:t xml:space="preserve">and Welfare Fund. The balance of the </w:t>
      </w:r>
      <w:r w:rsidR="005F4F2D">
        <w:rPr>
          <w:rFonts w:ascii="Arial" w:hAnsi="Arial" w:cs="Arial"/>
          <w:color w:val="010000"/>
          <w:sz w:val="20"/>
        </w:rPr>
        <w:t>Managing Director’s</w:t>
      </w:r>
      <w:r w:rsidRPr="00562C37">
        <w:rPr>
          <w:rFonts w:ascii="Arial" w:hAnsi="Arial" w:cs="Arial"/>
          <w:color w:val="010000"/>
          <w:sz w:val="20"/>
        </w:rPr>
        <w:t xml:space="preserve"> Bonus and Welfare Fund is used for the following years and ensures compliance with regulations.</w:t>
      </w:r>
    </w:p>
    <w:p w14:paraId="4BD36CB1" w14:textId="77777777" w:rsidR="00377650" w:rsidRPr="00562C37" w:rsidRDefault="00113863" w:rsidP="005F4F2D">
      <w:pPr>
        <w:widowControl w:val="0"/>
        <w:numPr>
          <w:ilvl w:val="0"/>
          <w:numId w:val="6"/>
        </w:numPr>
        <w:pBdr>
          <w:top w:val="nil"/>
          <w:left w:val="nil"/>
          <w:bottom w:val="nil"/>
          <w:right w:val="nil"/>
          <w:between w:val="nil"/>
        </w:pBdr>
        <w:tabs>
          <w:tab w:val="left" w:pos="432"/>
          <w:tab w:val="left" w:pos="824"/>
        </w:tabs>
        <w:spacing w:after="120" w:line="360" w:lineRule="auto"/>
        <w:jc w:val="both"/>
        <w:rPr>
          <w:rFonts w:ascii="Arial" w:eastAsia="Arial" w:hAnsi="Arial" w:cs="Arial"/>
          <w:color w:val="010000"/>
          <w:sz w:val="20"/>
          <w:szCs w:val="20"/>
        </w:rPr>
      </w:pPr>
      <w:r w:rsidRPr="00562C37">
        <w:rPr>
          <w:rFonts w:ascii="Arial" w:hAnsi="Arial" w:cs="Arial"/>
          <w:color w:val="010000"/>
          <w:sz w:val="20"/>
        </w:rPr>
        <w:t>Dividend payment time:</w:t>
      </w:r>
    </w:p>
    <w:p w14:paraId="08FDA523" w14:textId="78346E8B"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Within 6 months from the date of approval by the General Meeting. Payment may be made in one</w:t>
      </w:r>
      <w:r w:rsidR="00814CB0" w:rsidRPr="00562C37">
        <w:rPr>
          <w:rFonts w:ascii="Arial" w:hAnsi="Arial" w:cs="Arial"/>
          <w:color w:val="010000"/>
          <w:sz w:val="20"/>
        </w:rPr>
        <w:t xml:space="preserve"> round</w:t>
      </w:r>
      <w:r w:rsidRPr="00562C37">
        <w:rPr>
          <w:rFonts w:ascii="Arial" w:hAnsi="Arial" w:cs="Arial"/>
          <w:color w:val="010000"/>
          <w:sz w:val="20"/>
        </w:rPr>
        <w:t xml:space="preserve"> or</w:t>
      </w:r>
      <w:r w:rsidR="00814CB0" w:rsidRPr="00562C37">
        <w:rPr>
          <w:rFonts w:ascii="Arial" w:hAnsi="Arial" w:cs="Arial"/>
          <w:color w:val="010000"/>
          <w:sz w:val="20"/>
        </w:rPr>
        <w:t xml:space="preserve"> in many rounds</w:t>
      </w:r>
      <w:r w:rsidRPr="00562C37">
        <w:rPr>
          <w:rFonts w:ascii="Arial" w:hAnsi="Arial" w:cs="Arial"/>
          <w:color w:val="010000"/>
          <w:sz w:val="20"/>
        </w:rPr>
        <w:t xml:space="preserve">. </w:t>
      </w:r>
      <w:r w:rsidR="005F4F2D">
        <w:rPr>
          <w:rFonts w:ascii="Arial" w:hAnsi="Arial" w:cs="Arial"/>
          <w:color w:val="010000"/>
          <w:sz w:val="20"/>
        </w:rPr>
        <w:t>The Managing Director is authorized</w:t>
      </w:r>
      <w:r w:rsidRPr="00562C37">
        <w:rPr>
          <w:rFonts w:ascii="Arial" w:hAnsi="Arial" w:cs="Arial"/>
          <w:color w:val="010000"/>
          <w:sz w:val="20"/>
        </w:rPr>
        <w:t xml:space="preserve"> to decide all issues related to dividend payment 2023.</w:t>
      </w:r>
    </w:p>
    <w:p w14:paraId="05B4D33C" w14:textId="16B4321E"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6. Approve the Proposal on the implementation of profit distribution in 2024 with the following content:</w:t>
      </w:r>
    </w:p>
    <w:p w14:paraId="05185C06" w14:textId="77777777" w:rsidR="00377650" w:rsidRPr="00562C37" w:rsidRDefault="00113863" w:rsidP="005F4F2D">
      <w:pPr>
        <w:widowControl w:val="0"/>
        <w:numPr>
          <w:ilvl w:val="0"/>
          <w:numId w:val="1"/>
        </w:numPr>
        <w:pBdr>
          <w:top w:val="nil"/>
          <w:left w:val="nil"/>
          <w:bottom w:val="nil"/>
          <w:right w:val="nil"/>
          <w:between w:val="nil"/>
        </w:pBdr>
        <w:tabs>
          <w:tab w:val="left" w:pos="432"/>
          <w:tab w:val="left" w:pos="788"/>
        </w:tabs>
        <w:spacing w:after="120" w:line="360" w:lineRule="auto"/>
        <w:jc w:val="both"/>
        <w:rPr>
          <w:rFonts w:ascii="Arial" w:eastAsia="Arial" w:hAnsi="Arial" w:cs="Arial"/>
          <w:color w:val="010000"/>
          <w:sz w:val="20"/>
          <w:szCs w:val="20"/>
        </w:rPr>
      </w:pPr>
      <w:r w:rsidRPr="00562C37">
        <w:rPr>
          <w:rFonts w:ascii="Arial" w:hAnsi="Arial" w:cs="Arial"/>
          <w:color w:val="010000"/>
          <w:sz w:val="20"/>
        </w:rPr>
        <w:t>Profit distribution plan for 2024</w:t>
      </w:r>
    </w:p>
    <w:p w14:paraId="128F00A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6373"/>
        <w:gridCol w:w="1944"/>
      </w:tblGrid>
      <w:tr w:rsidR="00377650" w:rsidRPr="00562C37" w14:paraId="5F462721" w14:textId="77777777" w:rsidTr="00113863">
        <w:tc>
          <w:tcPr>
            <w:tcW w:w="388" w:type="pct"/>
            <w:shd w:val="clear" w:color="auto" w:fill="auto"/>
            <w:tcMar>
              <w:top w:w="0" w:type="dxa"/>
              <w:bottom w:w="0" w:type="dxa"/>
            </w:tcMar>
            <w:vAlign w:val="center"/>
          </w:tcPr>
          <w:p w14:paraId="1318385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3534" w:type="pct"/>
            <w:shd w:val="clear" w:color="auto" w:fill="auto"/>
            <w:tcMar>
              <w:top w:w="0" w:type="dxa"/>
              <w:bottom w:w="0" w:type="dxa"/>
            </w:tcMar>
            <w:vAlign w:val="center"/>
          </w:tcPr>
          <w:p w14:paraId="23374F1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Target</w:t>
            </w:r>
          </w:p>
        </w:tc>
        <w:tc>
          <w:tcPr>
            <w:tcW w:w="1078" w:type="pct"/>
            <w:shd w:val="clear" w:color="auto" w:fill="auto"/>
            <w:tcMar>
              <w:top w:w="0" w:type="dxa"/>
              <w:bottom w:w="0" w:type="dxa"/>
            </w:tcMar>
            <w:vAlign w:val="center"/>
          </w:tcPr>
          <w:p w14:paraId="1BE29A4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Amount</w:t>
            </w:r>
          </w:p>
        </w:tc>
      </w:tr>
      <w:tr w:rsidR="00377650" w:rsidRPr="00562C37" w14:paraId="35DAEEA1" w14:textId="77777777" w:rsidTr="00113863">
        <w:tc>
          <w:tcPr>
            <w:tcW w:w="388" w:type="pct"/>
            <w:shd w:val="clear" w:color="auto" w:fill="auto"/>
            <w:tcMar>
              <w:top w:w="0" w:type="dxa"/>
              <w:bottom w:w="0" w:type="dxa"/>
            </w:tcMar>
            <w:vAlign w:val="center"/>
          </w:tcPr>
          <w:p w14:paraId="21580EC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w:t>
            </w:r>
          </w:p>
        </w:tc>
        <w:tc>
          <w:tcPr>
            <w:tcW w:w="3534" w:type="pct"/>
            <w:shd w:val="clear" w:color="auto" w:fill="auto"/>
            <w:tcMar>
              <w:top w:w="0" w:type="dxa"/>
              <w:bottom w:w="0" w:type="dxa"/>
            </w:tcMar>
            <w:vAlign w:val="center"/>
          </w:tcPr>
          <w:p w14:paraId="4A3CCB4E" w14:textId="46FF54F0"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Profit before tax has not been </w:t>
            </w:r>
            <w:r w:rsidR="00814CB0" w:rsidRPr="00562C37">
              <w:rPr>
                <w:rFonts w:ascii="Arial" w:hAnsi="Arial" w:cs="Arial"/>
                <w:color w:val="010000"/>
                <w:sz w:val="20"/>
              </w:rPr>
              <w:t>a</w:t>
            </w:r>
            <w:r w:rsidRPr="00562C37">
              <w:rPr>
                <w:rFonts w:ascii="Arial" w:hAnsi="Arial" w:cs="Arial"/>
                <w:color w:val="010000"/>
                <w:sz w:val="20"/>
              </w:rPr>
              <w:t>ppropriated f</w:t>
            </w:r>
            <w:r w:rsidR="00814CB0" w:rsidRPr="00562C37">
              <w:rPr>
                <w:rFonts w:ascii="Arial" w:hAnsi="Arial" w:cs="Arial"/>
                <w:color w:val="010000"/>
                <w:sz w:val="20"/>
              </w:rPr>
              <w:t>or</w:t>
            </w:r>
            <w:r w:rsidRPr="00562C37">
              <w:rPr>
                <w:rFonts w:ascii="Arial" w:hAnsi="Arial" w:cs="Arial"/>
                <w:color w:val="010000"/>
                <w:sz w:val="20"/>
              </w:rPr>
              <w:t xml:space="preserve"> the science and technology fund</w:t>
            </w:r>
          </w:p>
        </w:tc>
        <w:tc>
          <w:tcPr>
            <w:tcW w:w="1078" w:type="pct"/>
            <w:shd w:val="clear" w:color="auto" w:fill="auto"/>
            <w:tcMar>
              <w:top w:w="0" w:type="dxa"/>
              <w:bottom w:w="0" w:type="dxa"/>
            </w:tcMar>
            <w:vAlign w:val="center"/>
          </w:tcPr>
          <w:p w14:paraId="19503A5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29,802,000,000</w:t>
            </w:r>
          </w:p>
        </w:tc>
      </w:tr>
      <w:tr w:rsidR="00377650" w:rsidRPr="00562C37" w14:paraId="6CEB0043" w14:textId="77777777" w:rsidTr="00113863">
        <w:tc>
          <w:tcPr>
            <w:tcW w:w="388" w:type="pct"/>
            <w:shd w:val="clear" w:color="auto" w:fill="auto"/>
            <w:tcMar>
              <w:top w:w="0" w:type="dxa"/>
              <w:bottom w:w="0" w:type="dxa"/>
            </w:tcMar>
            <w:vAlign w:val="center"/>
          </w:tcPr>
          <w:p w14:paraId="2B0153D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II</w:t>
            </w:r>
          </w:p>
        </w:tc>
        <w:tc>
          <w:tcPr>
            <w:tcW w:w="3534" w:type="pct"/>
            <w:shd w:val="clear" w:color="auto" w:fill="auto"/>
            <w:tcMar>
              <w:top w:w="0" w:type="dxa"/>
              <w:bottom w:w="0" w:type="dxa"/>
            </w:tcMar>
            <w:vAlign w:val="center"/>
          </w:tcPr>
          <w:p w14:paraId="6CFAC954" w14:textId="7CFD27A8"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science and technology fund (3% x taxable income)</w:t>
            </w:r>
          </w:p>
        </w:tc>
        <w:tc>
          <w:tcPr>
            <w:tcW w:w="1078" w:type="pct"/>
            <w:shd w:val="clear" w:color="auto" w:fill="auto"/>
            <w:tcMar>
              <w:top w:w="0" w:type="dxa"/>
              <w:bottom w:w="0" w:type="dxa"/>
            </w:tcMar>
            <w:vAlign w:val="center"/>
          </w:tcPr>
          <w:p w14:paraId="6C0A945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894,060,000</w:t>
            </w:r>
          </w:p>
        </w:tc>
      </w:tr>
      <w:tr w:rsidR="00377650" w:rsidRPr="00562C37" w14:paraId="7DA732FA" w14:textId="77777777" w:rsidTr="00113863">
        <w:tc>
          <w:tcPr>
            <w:tcW w:w="388" w:type="pct"/>
            <w:shd w:val="clear" w:color="auto" w:fill="auto"/>
            <w:tcMar>
              <w:top w:w="0" w:type="dxa"/>
              <w:bottom w:w="0" w:type="dxa"/>
            </w:tcMar>
            <w:vAlign w:val="center"/>
          </w:tcPr>
          <w:p w14:paraId="0E75FF0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III</w:t>
            </w:r>
          </w:p>
        </w:tc>
        <w:tc>
          <w:tcPr>
            <w:tcW w:w="3534" w:type="pct"/>
            <w:shd w:val="clear" w:color="auto" w:fill="auto"/>
            <w:tcMar>
              <w:top w:w="0" w:type="dxa"/>
              <w:bottom w:w="0" w:type="dxa"/>
            </w:tcMar>
            <w:vAlign w:val="center"/>
          </w:tcPr>
          <w:p w14:paraId="5FC49C2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Profit after tax is distributed as follows:</w:t>
            </w:r>
          </w:p>
        </w:tc>
        <w:tc>
          <w:tcPr>
            <w:tcW w:w="1078" w:type="pct"/>
            <w:shd w:val="clear" w:color="auto" w:fill="auto"/>
            <w:tcMar>
              <w:top w:w="0" w:type="dxa"/>
              <w:bottom w:w="0" w:type="dxa"/>
            </w:tcMar>
            <w:vAlign w:val="center"/>
          </w:tcPr>
          <w:p w14:paraId="14A79FB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23,126,300,000</w:t>
            </w:r>
          </w:p>
        </w:tc>
      </w:tr>
      <w:tr w:rsidR="00377650" w:rsidRPr="00562C37" w14:paraId="2F937D96" w14:textId="77777777" w:rsidTr="00113863">
        <w:tc>
          <w:tcPr>
            <w:tcW w:w="388" w:type="pct"/>
            <w:shd w:val="clear" w:color="auto" w:fill="auto"/>
            <w:tcMar>
              <w:top w:w="0" w:type="dxa"/>
              <w:bottom w:w="0" w:type="dxa"/>
            </w:tcMar>
            <w:vAlign w:val="center"/>
          </w:tcPr>
          <w:p w14:paraId="125B988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3534" w:type="pct"/>
            <w:shd w:val="clear" w:color="auto" w:fill="auto"/>
            <w:tcMar>
              <w:top w:w="0" w:type="dxa"/>
              <w:bottom w:w="0" w:type="dxa"/>
            </w:tcMar>
            <w:vAlign w:val="center"/>
          </w:tcPr>
          <w:p w14:paraId="5EF8639D" w14:textId="6408AE86" w:rsidR="00377650" w:rsidRPr="00562C37" w:rsidRDefault="00814CB0"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Pay</w:t>
            </w:r>
            <w:r w:rsidR="00113863" w:rsidRPr="00562C37">
              <w:rPr>
                <w:rFonts w:ascii="Arial" w:hAnsi="Arial" w:cs="Arial"/>
                <w:color w:val="010000"/>
                <w:sz w:val="20"/>
              </w:rPr>
              <w:t xml:space="preserve"> profits to affiliated capital contributors according to the provisions of the signed economic contract (if any)</w:t>
            </w:r>
          </w:p>
        </w:tc>
        <w:tc>
          <w:tcPr>
            <w:tcW w:w="1078" w:type="pct"/>
            <w:shd w:val="clear" w:color="auto" w:fill="auto"/>
            <w:tcMar>
              <w:top w:w="0" w:type="dxa"/>
              <w:bottom w:w="0" w:type="dxa"/>
            </w:tcMar>
            <w:vAlign w:val="center"/>
          </w:tcPr>
          <w:p w14:paraId="7A126AA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w:t>
            </w:r>
          </w:p>
        </w:tc>
      </w:tr>
      <w:tr w:rsidR="00377650" w:rsidRPr="00562C37" w14:paraId="72AFB919" w14:textId="77777777" w:rsidTr="00113863">
        <w:tc>
          <w:tcPr>
            <w:tcW w:w="388" w:type="pct"/>
            <w:shd w:val="clear" w:color="auto" w:fill="auto"/>
            <w:tcMar>
              <w:top w:w="0" w:type="dxa"/>
              <w:bottom w:w="0" w:type="dxa"/>
            </w:tcMar>
            <w:vAlign w:val="center"/>
          </w:tcPr>
          <w:p w14:paraId="4845BE6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3534" w:type="pct"/>
            <w:shd w:val="clear" w:color="auto" w:fill="auto"/>
            <w:tcMar>
              <w:top w:w="0" w:type="dxa"/>
              <w:bottom w:w="0" w:type="dxa"/>
            </w:tcMar>
            <w:vAlign w:val="center"/>
          </w:tcPr>
          <w:p w14:paraId="36A575B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Offset the loss of previous years has expired, which is deducted from profit before tax according to the regulations.</w:t>
            </w:r>
          </w:p>
        </w:tc>
        <w:tc>
          <w:tcPr>
            <w:tcW w:w="1078" w:type="pct"/>
            <w:shd w:val="clear" w:color="auto" w:fill="auto"/>
            <w:tcMar>
              <w:top w:w="0" w:type="dxa"/>
              <w:bottom w:w="0" w:type="dxa"/>
            </w:tcMar>
            <w:vAlign w:val="center"/>
          </w:tcPr>
          <w:p w14:paraId="04A2C01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w:t>
            </w:r>
          </w:p>
        </w:tc>
      </w:tr>
      <w:tr w:rsidR="00377650" w:rsidRPr="00562C37" w14:paraId="1DB7CF32" w14:textId="77777777" w:rsidTr="00113863">
        <w:tc>
          <w:tcPr>
            <w:tcW w:w="388" w:type="pct"/>
            <w:shd w:val="clear" w:color="auto" w:fill="auto"/>
            <w:tcMar>
              <w:top w:w="0" w:type="dxa"/>
              <w:bottom w:w="0" w:type="dxa"/>
            </w:tcMar>
            <w:vAlign w:val="center"/>
          </w:tcPr>
          <w:p w14:paraId="5A5CDB42"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3534" w:type="pct"/>
            <w:shd w:val="clear" w:color="auto" w:fill="auto"/>
            <w:tcMar>
              <w:top w:w="0" w:type="dxa"/>
              <w:bottom w:w="0" w:type="dxa"/>
            </w:tcMar>
            <w:vAlign w:val="center"/>
          </w:tcPr>
          <w:p w14:paraId="3754517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business investment and development fund:</w:t>
            </w:r>
          </w:p>
        </w:tc>
        <w:tc>
          <w:tcPr>
            <w:tcW w:w="1078" w:type="pct"/>
            <w:shd w:val="clear" w:color="auto" w:fill="auto"/>
            <w:tcMar>
              <w:top w:w="0" w:type="dxa"/>
              <w:bottom w:w="0" w:type="dxa"/>
            </w:tcMar>
            <w:vAlign w:val="center"/>
          </w:tcPr>
          <w:p w14:paraId="38C5F79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w:t>
            </w:r>
          </w:p>
        </w:tc>
      </w:tr>
      <w:tr w:rsidR="00377650" w:rsidRPr="00562C37" w14:paraId="5513E23B" w14:textId="77777777" w:rsidTr="00113863">
        <w:tc>
          <w:tcPr>
            <w:tcW w:w="388" w:type="pct"/>
            <w:shd w:val="clear" w:color="auto" w:fill="auto"/>
            <w:tcMar>
              <w:top w:w="0" w:type="dxa"/>
              <w:bottom w:w="0" w:type="dxa"/>
            </w:tcMar>
            <w:vAlign w:val="center"/>
          </w:tcPr>
          <w:p w14:paraId="2F94704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w:t>
            </w:r>
          </w:p>
        </w:tc>
        <w:tc>
          <w:tcPr>
            <w:tcW w:w="3534" w:type="pct"/>
            <w:shd w:val="clear" w:color="auto" w:fill="auto"/>
            <w:tcMar>
              <w:top w:w="0" w:type="dxa"/>
              <w:bottom w:w="0" w:type="dxa"/>
            </w:tcMar>
            <w:vAlign w:val="center"/>
          </w:tcPr>
          <w:p w14:paraId="6CA34534" w14:textId="1535ED38"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Appropriation for bonus and welfare fund (16.2% profit after tax distribution)</w:t>
            </w:r>
          </w:p>
        </w:tc>
        <w:tc>
          <w:tcPr>
            <w:tcW w:w="1078" w:type="pct"/>
            <w:shd w:val="clear" w:color="auto" w:fill="auto"/>
            <w:tcMar>
              <w:top w:w="0" w:type="dxa"/>
              <w:bottom w:w="0" w:type="dxa"/>
            </w:tcMar>
            <w:vAlign w:val="center"/>
          </w:tcPr>
          <w:p w14:paraId="4EA2C2B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3,746,460,480</w:t>
            </w:r>
          </w:p>
        </w:tc>
      </w:tr>
      <w:tr w:rsidR="00377650" w:rsidRPr="00562C37" w14:paraId="14AB9DD0" w14:textId="77777777" w:rsidTr="00113863">
        <w:tc>
          <w:tcPr>
            <w:tcW w:w="388" w:type="pct"/>
            <w:shd w:val="clear" w:color="auto" w:fill="auto"/>
            <w:tcMar>
              <w:top w:w="0" w:type="dxa"/>
              <w:bottom w:w="0" w:type="dxa"/>
            </w:tcMar>
            <w:vAlign w:val="center"/>
          </w:tcPr>
          <w:p w14:paraId="76DADAC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a</w:t>
            </w:r>
          </w:p>
        </w:tc>
        <w:tc>
          <w:tcPr>
            <w:tcW w:w="3534" w:type="pct"/>
            <w:shd w:val="clear" w:color="auto" w:fill="auto"/>
            <w:tcMar>
              <w:top w:w="0" w:type="dxa"/>
              <w:bottom w:w="0" w:type="dxa"/>
            </w:tcMar>
            <w:vAlign w:val="center"/>
          </w:tcPr>
          <w:p w14:paraId="4508135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Employee bonus and welfare fund- 75% of bonus and welfare fund</w:t>
            </w:r>
          </w:p>
        </w:tc>
        <w:tc>
          <w:tcPr>
            <w:tcW w:w="1078" w:type="pct"/>
            <w:shd w:val="clear" w:color="auto" w:fill="auto"/>
            <w:tcMar>
              <w:top w:w="0" w:type="dxa"/>
              <w:bottom w:w="0" w:type="dxa"/>
            </w:tcMar>
            <w:vAlign w:val="center"/>
          </w:tcPr>
          <w:p w14:paraId="61DA7446"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r>
      <w:tr w:rsidR="00377650" w:rsidRPr="00562C37" w14:paraId="71B08A22" w14:textId="77777777" w:rsidTr="00113863">
        <w:tc>
          <w:tcPr>
            <w:tcW w:w="388" w:type="pct"/>
            <w:shd w:val="clear" w:color="auto" w:fill="auto"/>
            <w:tcMar>
              <w:top w:w="0" w:type="dxa"/>
              <w:bottom w:w="0" w:type="dxa"/>
            </w:tcMar>
            <w:vAlign w:val="center"/>
          </w:tcPr>
          <w:p w14:paraId="16D1FC1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w:t>
            </w:r>
          </w:p>
        </w:tc>
        <w:tc>
          <w:tcPr>
            <w:tcW w:w="3534" w:type="pct"/>
            <w:shd w:val="clear" w:color="auto" w:fill="auto"/>
            <w:tcMar>
              <w:top w:w="0" w:type="dxa"/>
              <w:bottom w:w="0" w:type="dxa"/>
            </w:tcMar>
            <w:vAlign w:val="center"/>
          </w:tcPr>
          <w:p w14:paraId="10C1F6A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Bonus fund for managers - 25% of bonus and welfare fund</w:t>
            </w:r>
          </w:p>
        </w:tc>
        <w:tc>
          <w:tcPr>
            <w:tcW w:w="1078" w:type="pct"/>
            <w:shd w:val="clear" w:color="auto" w:fill="auto"/>
            <w:tcMar>
              <w:top w:w="0" w:type="dxa"/>
              <w:bottom w:w="0" w:type="dxa"/>
            </w:tcMar>
            <w:vAlign w:val="center"/>
          </w:tcPr>
          <w:p w14:paraId="7C1FF96B" w14:textId="77777777" w:rsidR="00377650" w:rsidRPr="00562C37" w:rsidRDefault="00377650" w:rsidP="00113863">
            <w:pPr>
              <w:tabs>
                <w:tab w:val="left" w:pos="432"/>
              </w:tabs>
              <w:spacing w:after="120" w:line="360" w:lineRule="auto"/>
              <w:rPr>
                <w:rFonts w:ascii="Arial" w:eastAsia="Arial" w:hAnsi="Arial" w:cs="Arial"/>
                <w:color w:val="010000"/>
                <w:sz w:val="20"/>
                <w:szCs w:val="20"/>
              </w:rPr>
            </w:pPr>
          </w:p>
        </w:tc>
      </w:tr>
      <w:tr w:rsidR="00377650" w:rsidRPr="00562C37" w14:paraId="2172BD83" w14:textId="77777777" w:rsidTr="00113863">
        <w:tc>
          <w:tcPr>
            <w:tcW w:w="388" w:type="pct"/>
            <w:shd w:val="clear" w:color="auto" w:fill="auto"/>
            <w:tcMar>
              <w:top w:w="0" w:type="dxa"/>
              <w:bottom w:w="0" w:type="dxa"/>
            </w:tcMar>
            <w:vAlign w:val="center"/>
          </w:tcPr>
          <w:p w14:paraId="1CB03BC1"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5</w:t>
            </w:r>
          </w:p>
        </w:tc>
        <w:tc>
          <w:tcPr>
            <w:tcW w:w="3534" w:type="pct"/>
            <w:shd w:val="clear" w:color="auto" w:fill="auto"/>
            <w:tcMar>
              <w:top w:w="0" w:type="dxa"/>
              <w:bottom w:w="0" w:type="dxa"/>
            </w:tcMar>
            <w:vAlign w:val="center"/>
          </w:tcPr>
          <w:p w14:paraId="2FF1294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The remaining profit for dividend payment is at least 6.8% of charter capital</w:t>
            </w:r>
          </w:p>
        </w:tc>
        <w:tc>
          <w:tcPr>
            <w:tcW w:w="1078" w:type="pct"/>
            <w:shd w:val="clear" w:color="auto" w:fill="auto"/>
            <w:tcMar>
              <w:top w:w="0" w:type="dxa"/>
              <w:bottom w:w="0" w:type="dxa"/>
            </w:tcMar>
            <w:vAlign w:val="center"/>
          </w:tcPr>
          <w:p w14:paraId="51C8DA7D"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19,379,839,520</w:t>
            </w:r>
          </w:p>
        </w:tc>
      </w:tr>
    </w:tbl>
    <w:p w14:paraId="49DD04BC" w14:textId="5EEE0A0B" w:rsidR="00377650" w:rsidRPr="00562C37" w:rsidRDefault="005F4F2D"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C</w:t>
      </w:r>
      <w:r w:rsidR="00113863" w:rsidRPr="00562C37">
        <w:rPr>
          <w:rFonts w:ascii="Arial" w:hAnsi="Arial" w:cs="Arial"/>
          <w:color w:val="010000"/>
          <w:sz w:val="20"/>
        </w:rPr>
        <w:t xml:space="preserve">ompany's bonus and welfare fund appropriation in 2024 is 16.2% of the profit made after tax in 2024; in which: The bonus and welfare fund for employees account for 75%, the </w:t>
      </w:r>
      <w:r w:rsidR="00814CB0" w:rsidRPr="00562C37">
        <w:rPr>
          <w:rFonts w:ascii="Arial" w:hAnsi="Arial" w:cs="Arial"/>
          <w:color w:val="010000"/>
          <w:sz w:val="20"/>
        </w:rPr>
        <w:t>Bonus</w:t>
      </w:r>
      <w:r w:rsidR="00113863" w:rsidRPr="00562C37">
        <w:rPr>
          <w:rFonts w:ascii="Arial" w:hAnsi="Arial" w:cs="Arial"/>
          <w:color w:val="010000"/>
          <w:sz w:val="20"/>
        </w:rPr>
        <w:t xml:space="preserve"> fund</w:t>
      </w:r>
      <w:r w:rsidR="00814CB0" w:rsidRPr="00562C37">
        <w:rPr>
          <w:rFonts w:ascii="Arial" w:hAnsi="Arial" w:cs="Arial"/>
          <w:color w:val="010000"/>
          <w:sz w:val="20"/>
        </w:rPr>
        <w:t xml:space="preserve"> for managers</w:t>
      </w:r>
      <w:r w:rsidR="00113863" w:rsidRPr="00562C37">
        <w:rPr>
          <w:rFonts w:ascii="Arial" w:hAnsi="Arial" w:cs="Arial"/>
          <w:color w:val="010000"/>
          <w:sz w:val="20"/>
        </w:rPr>
        <w:t xml:space="preserve"> is 25%. The</w:t>
      </w:r>
      <w:r w:rsidR="00814CB0" w:rsidRPr="00562C37">
        <w:rPr>
          <w:rFonts w:ascii="Arial" w:hAnsi="Arial" w:cs="Arial"/>
          <w:color w:val="010000"/>
          <w:sz w:val="20"/>
        </w:rPr>
        <w:t xml:space="preserve"> </w:t>
      </w:r>
      <w:r w:rsidR="00113863" w:rsidRPr="00562C37">
        <w:rPr>
          <w:rFonts w:ascii="Arial" w:hAnsi="Arial" w:cs="Arial"/>
          <w:color w:val="010000"/>
          <w:sz w:val="20"/>
        </w:rPr>
        <w:t>bonus fund</w:t>
      </w:r>
      <w:r w:rsidR="00814CB0" w:rsidRPr="00562C37">
        <w:rPr>
          <w:rFonts w:ascii="Arial" w:hAnsi="Arial" w:cs="Arial"/>
          <w:color w:val="010000"/>
          <w:sz w:val="20"/>
        </w:rPr>
        <w:t xml:space="preserve"> for managers</w:t>
      </w:r>
      <w:r w:rsidR="00113863" w:rsidRPr="00562C37">
        <w:rPr>
          <w:rFonts w:ascii="Arial" w:hAnsi="Arial" w:cs="Arial"/>
          <w:color w:val="010000"/>
          <w:sz w:val="20"/>
        </w:rPr>
        <w:t xml:space="preserve"> is distributed to: Company Manager, Deputy General Managers, Chief Accountant and Supervisory Board.</w:t>
      </w:r>
    </w:p>
    <w:p w14:paraId="3F0B7857" w14:textId="310692A1" w:rsidR="00377650" w:rsidRPr="00562C37" w:rsidRDefault="00113863" w:rsidP="005F4F2D">
      <w:pPr>
        <w:widowControl w:val="0"/>
        <w:numPr>
          <w:ilvl w:val="0"/>
          <w:numId w:val="1"/>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Depending on the actual situation, the Board of Management may propose to adjust some targets </w:t>
      </w:r>
      <w:r w:rsidR="00814CB0" w:rsidRPr="00562C37">
        <w:rPr>
          <w:rFonts w:ascii="Arial" w:hAnsi="Arial" w:cs="Arial"/>
          <w:color w:val="010000"/>
          <w:sz w:val="20"/>
        </w:rPr>
        <w:t xml:space="preserve">on the financial plan </w:t>
      </w:r>
      <w:r w:rsidRPr="00562C37">
        <w:rPr>
          <w:rFonts w:ascii="Arial" w:hAnsi="Arial" w:cs="Arial"/>
          <w:color w:val="010000"/>
          <w:sz w:val="20"/>
        </w:rPr>
        <w:t>2024 accordingly.</w:t>
      </w:r>
    </w:p>
    <w:p w14:paraId="3614657E" w14:textId="119DB97C" w:rsidR="00377650" w:rsidRPr="00562C37" w:rsidRDefault="00113863" w:rsidP="005F4F2D">
      <w:pPr>
        <w:widowControl w:val="0"/>
        <w:numPr>
          <w:ilvl w:val="0"/>
          <w:numId w:val="1"/>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562C37">
        <w:rPr>
          <w:rFonts w:ascii="Arial" w:hAnsi="Arial" w:cs="Arial"/>
          <w:color w:val="010000"/>
          <w:sz w:val="20"/>
        </w:rPr>
        <w:lastRenderedPageBreak/>
        <w:t>In case the profit after tax in 2024 exceeds the plan (after deducting 16.2% of the profit after tax f</w:t>
      </w:r>
      <w:r w:rsidR="00814CB0" w:rsidRPr="00562C37">
        <w:rPr>
          <w:rFonts w:ascii="Arial" w:hAnsi="Arial" w:cs="Arial"/>
          <w:color w:val="010000"/>
          <w:sz w:val="20"/>
        </w:rPr>
        <w:t>or</w:t>
      </w:r>
      <w:r w:rsidRPr="00562C37">
        <w:rPr>
          <w:rFonts w:ascii="Arial" w:hAnsi="Arial" w:cs="Arial"/>
          <w:color w:val="010000"/>
          <w:sz w:val="20"/>
        </w:rPr>
        <w:t xml:space="preserve"> the bonus and welfare fund), The company is proposed to appropriate development investment funds (maximum fund appropriation rate is 30% of profit after tax in 2024) but still ensures that the dividend payment rat</w:t>
      </w:r>
      <w:r w:rsidR="00814CB0" w:rsidRPr="00562C37">
        <w:rPr>
          <w:rFonts w:ascii="Arial" w:hAnsi="Arial" w:cs="Arial"/>
          <w:color w:val="010000"/>
          <w:sz w:val="20"/>
        </w:rPr>
        <w:t>e</w:t>
      </w:r>
      <w:r w:rsidRPr="00562C37">
        <w:rPr>
          <w:rFonts w:ascii="Arial" w:hAnsi="Arial" w:cs="Arial"/>
          <w:color w:val="010000"/>
          <w:sz w:val="20"/>
        </w:rPr>
        <w:t xml:space="preserve"> in 2024 is not lower than 6.8% of charter capital.</w:t>
      </w:r>
    </w:p>
    <w:p w14:paraId="47865BFA" w14:textId="3AF5183E" w:rsidR="00377650" w:rsidRPr="00562C37" w:rsidRDefault="00113863" w:rsidP="005F4F2D">
      <w:pPr>
        <w:widowControl w:val="0"/>
        <w:numPr>
          <w:ilvl w:val="0"/>
          <w:numId w:val="1"/>
        </w:numPr>
        <w:pBdr>
          <w:top w:val="nil"/>
          <w:left w:val="nil"/>
          <w:bottom w:val="nil"/>
          <w:right w:val="nil"/>
          <w:between w:val="nil"/>
        </w:pBdr>
        <w:tabs>
          <w:tab w:val="left" w:pos="432"/>
          <w:tab w:val="left" w:pos="749"/>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The </w:t>
      </w:r>
      <w:r w:rsidR="005F4F2D">
        <w:rPr>
          <w:rFonts w:ascii="Arial" w:hAnsi="Arial" w:cs="Arial"/>
          <w:color w:val="010000"/>
          <w:sz w:val="20"/>
        </w:rPr>
        <w:t>Managing Director</w:t>
      </w:r>
      <w:r w:rsidRPr="00562C37">
        <w:rPr>
          <w:rFonts w:ascii="Arial" w:hAnsi="Arial" w:cs="Arial"/>
          <w:color w:val="010000"/>
          <w:sz w:val="20"/>
        </w:rPr>
        <w:t xml:space="preserve"> is allowed to balance and regulate </w:t>
      </w:r>
      <w:r w:rsidR="00814CB0" w:rsidRPr="00562C37">
        <w:rPr>
          <w:rFonts w:ascii="Arial" w:hAnsi="Arial" w:cs="Arial"/>
          <w:color w:val="010000"/>
          <w:sz w:val="20"/>
        </w:rPr>
        <w:t>between</w:t>
      </w:r>
      <w:r w:rsidRPr="00562C37">
        <w:rPr>
          <w:rFonts w:ascii="Arial" w:hAnsi="Arial" w:cs="Arial"/>
          <w:color w:val="010000"/>
          <w:sz w:val="20"/>
        </w:rPr>
        <w:t xml:space="preserve"> Bonus </w:t>
      </w:r>
      <w:r w:rsidR="00814CB0" w:rsidRPr="00562C37">
        <w:rPr>
          <w:rFonts w:ascii="Arial" w:hAnsi="Arial" w:cs="Arial"/>
          <w:color w:val="010000"/>
          <w:sz w:val="20"/>
        </w:rPr>
        <w:t xml:space="preserve">Fund </w:t>
      </w:r>
      <w:r w:rsidRPr="00562C37">
        <w:rPr>
          <w:rFonts w:ascii="Arial" w:hAnsi="Arial" w:cs="Arial"/>
          <w:color w:val="010000"/>
          <w:sz w:val="20"/>
        </w:rPr>
        <w:t>and Welfare Fund. The balance of the Bonus and Welfare Fund will be used for the following years, and the General Manager will decide to use it for the right purpose.</w:t>
      </w:r>
    </w:p>
    <w:p w14:paraId="0883716C" w14:textId="41B909C6"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In order to promptly take care of the lives of employees, depending on the actual situation of annual production and business, the Company is allowed to temporarily appropriate expenditures for bonus and welfare but must ensure the dividend spending target assigned annually by the General Meeting.</w:t>
      </w:r>
    </w:p>
    <w:p w14:paraId="35A2E96B" w14:textId="77777777" w:rsidR="00377650" w:rsidRPr="00562C37" w:rsidRDefault="00113863" w:rsidP="005F4F2D">
      <w:pPr>
        <w:widowControl w:val="0"/>
        <w:numPr>
          <w:ilvl w:val="0"/>
          <w:numId w:val="1"/>
        </w:numPr>
        <w:pBdr>
          <w:top w:val="nil"/>
          <w:left w:val="nil"/>
          <w:bottom w:val="nil"/>
          <w:right w:val="nil"/>
          <w:between w:val="nil"/>
        </w:pBdr>
        <w:tabs>
          <w:tab w:val="left" w:pos="432"/>
          <w:tab w:val="left" w:pos="760"/>
        </w:tabs>
        <w:spacing w:after="120" w:line="360" w:lineRule="auto"/>
        <w:jc w:val="both"/>
        <w:rPr>
          <w:rFonts w:ascii="Arial" w:eastAsia="Arial" w:hAnsi="Arial" w:cs="Arial"/>
          <w:color w:val="010000"/>
          <w:sz w:val="20"/>
          <w:szCs w:val="20"/>
        </w:rPr>
      </w:pPr>
      <w:r w:rsidRPr="00562C37">
        <w:rPr>
          <w:rFonts w:ascii="Arial" w:hAnsi="Arial" w:cs="Arial"/>
          <w:color w:val="010000"/>
          <w:sz w:val="20"/>
        </w:rPr>
        <w:t>Science and Technology Fund: Depending on the financial situation of the Company, the General Manager is assigned to proactively balance and refund the science and technology fund of previous years in accordance with regulations.</w:t>
      </w:r>
    </w:p>
    <w:p w14:paraId="45E175A7"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7. Approve the Proposal on handling the settlement value of public utility products and services in the period 2013 to 2016 as follows:</w:t>
      </w:r>
    </w:p>
    <w:p w14:paraId="756B61F4" w14:textId="673498D4" w:rsidR="00377650" w:rsidRPr="00562C37" w:rsidRDefault="00113863" w:rsidP="005F4F2D">
      <w:pPr>
        <w:widowControl w:val="0"/>
        <w:numPr>
          <w:ilvl w:val="0"/>
          <w:numId w:val="2"/>
        </w:numPr>
        <w:pBdr>
          <w:top w:val="nil"/>
          <w:left w:val="nil"/>
          <w:bottom w:val="nil"/>
          <w:right w:val="nil"/>
          <w:between w:val="nil"/>
        </w:pBdr>
        <w:tabs>
          <w:tab w:val="left" w:pos="432"/>
          <w:tab w:val="left" w:pos="724"/>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Approve the Company to </w:t>
      </w:r>
      <w:r w:rsidR="00814CB0" w:rsidRPr="00562C37">
        <w:rPr>
          <w:rFonts w:ascii="Arial" w:hAnsi="Arial" w:cs="Arial"/>
          <w:color w:val="010000"/>
          <w:sz w:val="20"/>
        </w:rPr>
        <w:t>make</w:t>
      </w:r>
      <w:r w:rsidRPr="00562C37">
        <w:rPr>
          <w:rFonts w:ascii="Arial" w:hAnsi="Arial" w:cs="Arial"/>
          <w:color w:val="010000"/>
          <w:sz w:val="20"/>
        </w:rPr>
        <w:t xml:space="preserve"> appropriation for receivable reserve fund for amounts that the investor has temporarily collected to offset and repay the budget, debt age is calculated from the da</w:t>
      </w:r>
      <w:r w:rsidR="005F4F2D">
        <w:rPr>
          <w:rFonts w:ascii="Arial" w:hAnsi="Arial" w:cs="Arial"/>
          <w:color w:val="010000"/>
          <w:sz w:val="20"/>
        </w:rPr>
        <w:t xml:space="preserve">te the investor compensates as per </w:t>
      </w:r>
      <w:r w:rsidRPr="00562C37">
        <w:rPr>
          <w:rFonts w:ascii="Arial" w:hAnsi="Arial" w:cs="Arial"/>
          <w:color w:val="010000"/>
          <w:sz w:val="20"/>
        </w:rPr>
        <w:t xml:space="preserve">regulations on provisioning and approval of the above profit reduction when there is an official decision from the competent authority. </w:t>
      </w:r>
      <w:r w:rsidR="007D2C05" w:rsidRPr="00562C37">
        <w:rPr>
          <w:rFonts w:ascii="Arial" w:hAnsi="Arial" w:cs="Arial"/>
          <w:color w:val="010000"/>
          <w:sz w:val="20"/>
        </w:rPr>
        <w:t>This provision</w:t>
      </w:r>
      <w:r w:rsidRPr="00562C37">
        <w:rPr>
          <w:rFonts w:ascii="Arial" w:hAnsi="Arial" w:cs="Arial"/>
          <w:color w:val="010000"/>
          <w:sz w:val="20"/>
        </w:rPr>
        <w:t xml:space="preserve"> will be used to account for the reversal o</w:t>
      </w:r>
      <w:r w:rsidR="005F4F2D">
        <w:rPr>
          <w:rFonts w:ascii="Arial" w:hAnsi="Arial" w:cs="Arial"/>
          <w:color w:val="010000"/>
          <w:sz w:val="20"/>
        </w:rPr>
        <w:t>f profits arising from the aforementioned</w:t>
      </w:r>
      <w:r w:rsidRPr="00562C37">
        <w:rPr>
          <w:rFonts w:ascii="Arial" w:hAnsi="Arial" w:cs="Arial"/>
          <w:color w:val="010000"/>
          <w:sz w:val="20"/>
        </w:rPr>
        <w:t xml:space="preserve"> reduction in settlement when there is an official decision from the competent authority.</w:t>
      </w:r>
    </w:p>
    <w:p w14:paraId="3399C920" w14:textId="77777777" w:rsidR="00377650" w:rsidRPr="00562C37" w:rsidRDefault="00113863" w:rsidP="005F4F2D">
      <w:pPr>
        <w:widowControl w:val="0"/>
        <w:numPr>
          <w:ilvl w:val="0"/>
          <w:numId w:val="2"/>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sidRPr="00562C37">
        <w:rPr>
          <w:rFonts w:ascii="Arial" w:hAnsi="Arial" w:cs="Arial"/>
          <w:color w:val="010000"/>
          <w:sz w:val="20"/>
        </w:rPr>
        <w:t>The time to process the settlement of adjustments to reduce orders for the supply of public service products and services is expected to be from 3 to 5 years.</w:t>
      </w:r>
    </w:p>
    <w:p w14:paraId="0F63945C" w14:textId="77777777" w:rsidR="00377650" w:rsidRPr="00562C37" w:rsidRDefault="00113863" w:rsidP="005F4F2D">
      <w:pPr>
        <w:widowControl w:val="0"/>
        <w:numPr>
          <w:ilvl w:val="0"/>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562C37">
        <w:rPr>
          <w:rFonts w:ascii="Arial" w:hAnsi="Arial" w:cs="Arial"/>
          <w:color w:val="010000"/>
          <w:sz w:val="20"/>
        </w:rPr>
        <w:t>Support annual dividend target: During the time of processing the settlement and adjusting the reduction of the projects ordered to provide the above public service products, the company strives to achieve annual dividends from 6.8% to 7.8% in accordance with the production and business situation of the year.</w:t>
      </w:r>
    </w:p>
    <w:p w14:paraId="7A3F440B" w14:textId="241605FB"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8. Approve the Proposal on the remuneration of members of the Board of Directors, members of the Supervisory Board and the person in charge of corporate governance and Secretar</w:t>
      </w:r>
      <w:r w:rsidR="007D2C05" w:rsidRPr="00562C37">
        <w:rPr>
          <w:rFonts w:ascii="Arial" w:hAnsi="Arial" w:cs="Arial"/>
          <w:color w:val="010000"/>
          <w:sz w:val="20"/>
        </w:rPr>
        <w:t>iat</w:t>
      </w:r>
      <w:r w:rsidRPr="00562C37">
        <w:rPr>
          <w:rFonts w:ascii="Arial" w:hAnsi="Arial" w:cs="Arial"/>
          <w:color w:val="010000"/>
          <w:sz w:val="20"/>
        </w:rPr>
        <w:t xml:space="preserve"> of the Board of Directors in 2024, specifically as follows:</w:t>
      </w:r>
    </w:p>
    <w:p w14:paraId="682243CB"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Unit: VND/year</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0"/>
        <w:gridCol w:w="3385"/>
        <w:gridCol w:w="1363"/>
        <w:gridCol w:w="3569"/>
      </w:tblGrid>
      <w:tr w:rsidR="00377650" w:rsidRPr="00562C37" w14:paraId="31A3A511" w14:textId="77777777" w:rsidTr="00113863">
        <w:tc>
          <w:tcPr>
            <w:tcW w:w="388" w:type="pct"/>
            <w:shd w:val="clear" w:color="auto" w:fill="auto"/>
            <w:tcMar>
              <w:top w:w="0" w:type="dxa"/>
              <w:bottom w:w="0" w:type="dxa"/>
            </w:tcMar>
            <w:vAlign w:val="center"/>
          </w:tcPr>
          <w:p w14:paraId="058FAED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No.</w:t>
            </w:r>
          </w:p>
        </w:tc>
        <w:tc>
          <w:tcPr>
            <w:tcW w:w="1877" w:type="pct"/>
            <w:shd w:val="clear" w:color="auto" w:fill="auto"/>
            <w:tcMar>
              <w:top w:w="0" w:type="dxa"/>
              <w:bottom w:w="0" w:type="dxa"/>
            </w:tcMar>
            <w:vAlign w:val="center"/>
          </w:tcPr>
          <w:p w14:paraId="7434589B"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Content</w:t>
            </w:r>
          </w:p>
        </w:tc>
        <w:tc>
          <w:tcPr>
            <w:tcW w:w="756" w:type="pct"/>
            <w:shd w:val="clear" w:color="auto" w:fill="auto"/>
            <w:tcMar>
              <w:top w:w="0" w:type="dxa"/>
              <w:bottom w:w="0" w:type="dxa"/>
            </w:tcMar>
            <w:vAlign w:val="center"/>
          </w:tcPr>
          <w:p w14:paraId="173829F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Quantity</w:t>
            </w:r>
          </w:p>
        </w:tc>
        <w:tc>
          <w:tcPr>
            <w:tcW w:w="1979" w:type="pct"/>
            <w:shd w:val="clear" w:color="auto" w:fill="auto"/>
            <w:tcMar>
              <w:top w:w="0" w:type="dxa"/>
              <w:bottom w:w="0" w:type="dxa"/>
            </w:tcMar>
            <w:vAlign w:val="center"/>
          </w:tcPr>
          <w:p w14:paraId="60AEEC1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Remuneration</w:t>
            </w:r>
          </w:p>
        </w:tc>
      </w:tr>
      <w:tr w:rsidR="00377650" w:rsidRPr="00562C37" w14:paraId="404951DB" w14:textId="77777777" w:rsidTr="00113863">
        <w:tc>
          <w:tcPr>
            <w:tcW w:w="388" w:type="pct"/>
            <w:shd w:val="clear" w:color="auto" w:fill="auto"/>
            <w:tcMar>
              <w:top w:w="0" w:type="dxa"/>
              <w:bottom w:w="0" w:type="dxa"/>
            </w:tcMar>
            <w:vAlign w:val="center"/>
          </w:tcPr>
          <w:p w14:paraId="6E0042EE"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1</w:t>
            </w:r>
          </w:p>
        </w:tc>
        <w:tc>
          <w:tcPr>
            <w:tcW w:w="1877" w:type="pct"/>
            <w:shd w:val="clear" w:color="auto" w:fill="auto"/>
            <w:tcMar>
              <w:top w:w="0" w:type="dxa"/>
              <w:bottom w:w="0" w:type="dxa"/>
            </w:tcMar>
            <w:vAlign w:val="center"/>
          </w:tcPr>
          <w:p w14:paraId="1B14A8C9"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Board of Directors</w:t>
            </w:r>
          </w:p>
        </w:tc>
        <w:tc>
          <w:tcPr>
            <w:tcW w:w="756" w:type="pct"/>
            <w:shd w:val="clear" w:color="auto" w:fill="auto"/>
            <w:tcMar>
              <w:top w:w="0" w:type="dxa"/>
              <w:bottom w:w="0" w:type="dxa"/>
            </w:tcMar>
            <w:vAlign w:val="center"/>
          </w:tcPr>
          <w:p w14:paraId="029BF87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05</w:t>
            </w:r>
          </w:p>
        </w:tc>
        <w:tc>
          <w:tcPr>
            <w:tcW w:w="1979" w:type="pct"/>
            <w:shd w:val="clear" w:color="auto" w:fill="auto"/>
            <w:tcMar>
              <w:top w:w="0" w:type="dxa"/>
              <w:bottom w:w="0" w:type="dxa"/>
            </w:tcMar>
            <w:vAlign w:val="center"/>
          </w:tcPr>
          <w:p w14:paraId="3497D81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412,020,000</w:t>
            </w:r>
          </w:p>
        </w:tc>
      </w:tr>
      <w:tr w:rsidR="00377650" w:rsidRPr="00562C37" w14:paraId="7B06C258" w14:textId="77777777" w:rsidTr="00113863">
        <w:tc>
          <w:tcPr>
            <w:tcW w:w="388" w:type="pct"/>
            <w:shd w:val="clear" w:color="auto" w:fill="auto"/>
            <w:tcMar>
              <w:top w:w="0" w:type="dxa"/>
              <w:bottom w:w="0" w:type="dxa"/>
            </w:tcMar>
            <w:vAlign w:val="center"/>
          </w:tcPr>
          <w:p w14:paraId="57D62030"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2</w:t>
            </w:r>
          </w:p>
        </w:tc>
        <w:tc>
          <w:tcPr>
            <w:tcW w:w="1877" w:type="pct"/>
            <w:shd w:val="clear" w:color="auto" w:fill="auto"/>
            <w:tcMar>
              <w:top w:w="0" w:type="dxa"/>
              <w:bottom w:w="0" w:type="dxa"/>
            </w:tcMar>
            <w:vAlign w:val="center"/>
          </w:tcPr>
          <w:p w14:paraId="4C9DC547" w14:textId="7BF030F1"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The Supervisory Board</w:t>
            </w:r>
          </w:p>
        </w:tc>
        <w:tc>
          <w:tcPr>
            <w:tcW w:w="756" w:type="pct"/>
            <w:shd w:val="clear" w:color="auto" w:fill="auto"/>
            <w:tcMar>
              <w:top w:w="0" w:type="dxa"/>
              <w:bottom w:w="0" w:type="dxa"/>
            </w:tcMar>
            <w:vAlign w:val="center"/>
          </w:tcPr>
          <w:p w14:paraId="5BA60796"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03</w:t>
            </w:r>
          </w:p>
        </w:tc>
        <w:tc>
          <w:tcPr>
            <w:tcW w:w="1979" w:type="pct"/>
            <w:shd w:val="clear" w:color="auto" w:fill="auto"/>
            <w:tcMar>
              <w:top w:w="0" w:type="dxa"/>
              <w:bottom w:w="0" w:type="dxa"/>
            </w:tcMar>
            <w:vAlign w:val="center"/>
          </w:tcPr>
          <w:p w14:paraId="0B7DFAAF"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483,840,000</w:t>
            </w:r>
          </w:p>
        </w:tc>
      </w:tr>
      <w:tr w:rsidR="00377650" w:rsidRPr="00562C37" w14:paraId="56EA8054" w14:textId="77777777" w:rsidTr="00113863">
        <w:tc>
          <w:tcPr>
            <w:tcW w:w="388" w:type="pct"/>
            <w:shd w:val="clear" w:color="auto" w:fill="auto"/>
            <w:tcMar>
              <w:top w:w="0" w:type="dxa"/>
              <w:bottom w:w="0" w:type="dxa"/>
            </w:tcMar>
            <w:vAlign w:val="center"/>
          </w:tcPr>
          <w:p w14:paraId="4D5AA1B4"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3</w:t>
            </w:r>
          </w:p>
        </w:tc>
        <w:tc>
          <w:tcPr>
            <w:tcW w:w="1877" w:type="pct"/>
            <w:shd w:val="clear" w:color="auto" w:fill="auto"/>
            <w:tcMar>
              <w:top w:w="0" w:type="dxa"/>
              <w:bottom w:w="0" w:type="dxa"/>
            </w:tcMar>
            <w:vAlign w:val="center"/>
          </w:tcPr>
          <w:p w14:paraId="28FA5A6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 xml:space="preserve">Person in charge of corporate </w:t>
            </w:r>
            <w:r w:rsidRPr="00562C37">
              <w:rPr>
                <w:rFonts w:ascii="Arial" w:hAnsi="Arial" w:cs="Arial"/>
                <w:color w:val="010000"/>
                <w:sz w:val="20"/>
              </w:rPr>
              <w:lastRenderedPageBreak/>
              <w:t>governance-cum-Secretariat of the Board of Directors</w:t>
            </w:r>
          </w:p>
        </w:tc>
        <w:tc>
          <w:tcPr>
            <w:tcW w:w="756" w:type="pct"/>
            <w:shd w:val="clear" w:color="auto" w:fill="auto"/>
            <w:tcMar>
              <w:top w:w="0" w:type="dxa"/>
              <w:bottom w:w="0" w:type="dxa"/>
            </w:tcMar>
            <w:vAlign w:val="center"/>
          </w:tcPr>
          <w:p w14:paraId="276BA785"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lastRenderedPageBreak/>
              <w:t>01</w:t>
            </w:r>
          </w:p>
        </w:tc>
        <w:tc>
          <w:tcPr>
            <w:tcW w:w="1979" w:type="pct"/>
            <w:shd w:val="clear" w:color="auto" w:fill="auto"/>
            <w:tcMar>
              <w:top w:w="0" w:type="dxa"/>
              <w:bottom w:w="0" w:type="dxa"/>
            </w:tcMar>
            <w:vAlign w:val="center"/>
          </w:tcPr>
          <w:p w14:paraId="68065B53"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42,840,000</w:t>
            </w:r>
          </w:p>
        </w:tc>
      </w:tr>
      <w:tr w:rsidR="00377650" w:rsidRPr="00562C37" w14:paraId="66149487" w14:textId="77777777" w:rsidTr="00113863">
        <w:tc>
          <w:tcPr>
            <w:tcW w:w="2265" w:type="pct"/>
            <w:gridSpan w:val="2"/>
            <w:shd w:val="clear" w:color="auto" w:fill="auto"/>
            <w:tcMar>
              <w:top w:w="0" w:type="dxa"/>
              <w:bottom w:w="0" w:type="dxa"/>
            </w:tcMar>
            <w:vAlign w:val="center"/>
          </w:tcPr>
          <w:p w14:paraId="7D49F60C"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lastRenderedPageBreak/>
              <w:t>Total</w:t>
            </w:r>
          </w:p>
        </w:tc>
        <w:tc>
          <w:tcPr>
            <w:tcW w:w="756" w:type="pct"/>
            <w:shd w:val="clear" w:color="auto" w:fill="auto"/>
            <w:tcMar>
              <w:top w:w="0" w:type="dxa"/>
              <w:bottom w:w="0" w:type="dxa"/>
            </w:tcMar>
            <w:vAlign w:val="center"/>
          </w:tcPr>
          <w:p w14:paraId="19711AE8"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09</w:t>
            </w:r>
          </w:p>
        </w:tc>
        <w:tc>
          <w:tcPr>
            <w:tcW w:w="1979" w:type="pct"/>
            <w:shd w:val="clear" w:color="auto" w:fill="auto"/>
            <w:tcMar>
              <w:top w:w="0" w:type="dxa"/>
              <w:bottom w:w="0" w:type="dxa"/>
            </w:tcMar>
            <w:vAlign w:val="center"/>
          </w:tcPr>
          <w:p w14:paraId="2321E32A" w14:textId="77777777" w:rsidR="00377650" w:rsidRPr="00562C37" w:rsidRDefault="00113863" w:rsidP="00113863">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62C37">
              <w:rPr>
                <w:rFonts w:ascii="Arial" w:hAnsi="Arial" w:cs="Arial"/>
                <w:color w:val="010000"/>
                <w:sz w:val="20"/>
              </w:rPr>
              <w:t>938,700,000 (*)</w:t>
            </w:r>
          </w:p>
        </w:tc>
      </w:tr>
    </w:tbl>
    <w:p w14:paraId="3E92E9D1"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In which, the expected number of personnel and remuneration paid to members of the Board of Directors, Supervisory Board and the person in charge of corporate governance-cum-Secretariat of the Board of Directors are as follows:</w:t>
      </w:r>
    </w:p>
    <w:p w14:paraId="2520CA8C" w14:textId="77777777" w:rsidR="00377650" w:rsidRPr="00562C37" w:rsidRDefault="00113863" w:rsidP="005F4F2D">
      <w:pPr>
        <w:widowControl w:val="0"/>
        <w:numPr>
          <w:ilvl w:val="0"/>
          <w:numId w:val="5"/>
        </w:numPr>
        <w:pBdr>
          <w:top w:val="nil"/>
          <w:left w:val="nil"/>
          <w:bottom w:val="nil"/>
          <w:right w:val="nil"/>
          <w:between w:val="nil"/>
        </w:pBdr>
        <w:tabs>
          <w:tab w:val="left" w:pos="261"/>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Non-executive Chair of the Board of Directors (01 person) VND 12,075,000 million/month/person</w:t>
      </w:r>
    </w:p>
    <w:p w14:paraId="76072B9B" w14:textId="489287AF" w:rsidR="00377650" w:rsidRPr="00562C37" w:rsidRDefault="00113863" w:rsidP="005F4F2D">
      <w:pPr>
        <w:widowControl w:val="0"/>
        <w:numPr>
          <w:ilvl w:val="0"/>
          <w:numId w:val="5"/>
        </w:numPr>
        <w:pBdr>
          <w:top w:val="nil"/>
          <w:left w:val="nil"/>
          <w:bottom w:val="nil"/>
          <w:right w:val="nil"/>
          <w:between w:val="nil"/>
        </w:pBdr>
        <w:tabs>
          <w:tab w:val="left" w:pos="265"/>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Non-executive Member of the Board of Directors (04 person</w:t>
      </w:r>
      <w:r w:rsidR="007D2C05" w:rsidRPr="00562C37">
        <w:rPr>
          <w:rFonts w:ascii="Arial" w:hAnsi="Arial" w:cs="Arial"/>
          <w:color w:val="010000"/>
          <w:sz w:val="20"/>
        </w:rPr>
        <w:t>s</w:t>
      </w:r>
      <w:r w:rsidRPr="00562C37">
        <w:rPr>
          <w:rFonts w:ascii="Arial" w:hAnsi="Arial" w:cs="Arial"/>
          <w:color w:val="010000"/>
          <w:sz w:val="20"/>
        </w:rPr>
        <w:t>) VND 5,565,000 million/month/person</w:t>
      </w:r>
    </w:p>
    <w:p w14:paraId="0C20D5D8" w14:textId="77777777" w:rsidR="00377650" w:rsidRPr="00562C37" w:rsidRDefault="00113863" w:rsidP="005F4F2D">
      <w:pPr>
        <w:widowControl w:val="0"/>
        <w:numPr>
          <w:ilvl w:val="0"/>
          <w:numId w:val="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Executive Chief of the Supervisory Board (01 person) VND 32,550,000 million/month/person</w:t>
      </w:r>
    </w:p>
    <w:p w14:paraId="62B86EBF" w14:textId="386C2169" w:rsidR="00377650" w:rsidRPr="00562C37" w:rsidRDefault="00113863" w:rsidP="005F4F2D">
      <w:pPr>
        <w:widowControl w:val="0"/>
        <w:numPr>
          <w:ilvl w:val="0"/>
          <w:numId w:val="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Non-executive Member of the Supervisory Board (02 person</w:t>
      </w:r>
      <w:r w:rsidR="007D2C05" w:rsidRPr="00562C37">
        <w:rPr>
          <w:rFonts w:ascii="Arial" w:hAnsi="Arial" w:cs="Arial"/>
          <w:color w:val="010000"/>
          <w:sz w:val="20"/>
        </w:rPr>
        <w:t>s</w:t>
      </w:r>
      <w:r w:rsidRPr="00562C37">
        <w:rPr>
          <w:rFonts w:ascii="Arial" w:hAnsi="Arial" w:cs="Arial"/>
          <w:color w:val="010000"/>
          <w:sz w:val="20"/>
        </w:rPr>
        <w:t>) VND 3,885,000 million/month/person</w:t>
      </w:r>
    </w:p>
    <w:p w14:paraId="587D86D4" w14:textId="77777777" w:rsidR="00377650" w:rsidRPr="00562C37" w:rsidRDefault="00113863" w:rsidP="005F4F2D">
      <w:pPr>
        <w:widowControl w:val="0"/>
        <w:numPr>
          <w:ilvl w:val="0"/>
          <w:numId w:val="5"/>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Person in charge of corporate governance-cum-Secretariat of the Board of Directors (01 person) VND 3,570,000 million/month/person</w:t>
      </w:r>
    </w:p>
    <w:p w14:paraId="62AA4D01"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 This remuneration fee will vary depending on the number of personnel and the relative work of members of the Board of Directors and the Supervisory Board.</w:t>
      </w:r>
    </w:p>
    <w:p w14:paraId="3A58FEF9"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9. Approve the proposal to select Southern Auditing and Accounting Financial Consulting Services Company Limited (AASCs) as the independent auditing unit to audit and review financial statements in the fiscal year 2024 of Saigon Traffic Construction Joint Stock Company. Assign the General Manager to sign an audit service provision contract with Southern Auditing and Accounting Financial Consulting Services Company Limited (AASCs) to audit and review financial statements in the fiscal year 2024 of the Company (Attached with the report).</w:t>
      </w:r>
    </w:p>
    <w:p w14:paraId="033A679C"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10. Approve the dismissal of the position of member of the Board of Directors (term 2021-2026) for Mr. Huynh Minh Anh and agreed to elect 01 additional member of the Board of Directors of Saigon Traffic Construction Joint Stock Company.</w:t>
      </w:r>
    </w:p>
    <w:p w14:paraId="72A57448"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‎‎Article 11. Approve the results of the additional election of Mr. Hoang Ngoc Hung as a member of the Board of Directors to replace Mr. Huynh Minh Anh for the remaining period of the 2021-2026 term.</w:t>
      </w:r>
    </w:p>
    <w:p w14:paraId="506AD93B" w14:textId="330CE8CF"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‎‎Article 12. Assign the Board of Directors and </w:t>
      </w:r>
      <w:r w:rsidR="005F4F2D">
        <w:rPr>
          <w:rFonts w:ascii="Arial" w:hAnsi="Arial" w:cs="Arial"/>
          <w:color w:val="010000"/>
          <w:sz w:val="20"/>
        </w:rPr>
        <w:t>Executive Board</w:t>
      </w:r>
      <w:r w:rsidRPr="00562C37">
        <w:rPr>
          <w:rFonts w:ascii="Arial" w:hAnsi="Arial" w:cs="Arial"/>
          <w:color w:val="010000"/>
          <w:sz w:val="20"/>
        </w:rPr>
        <w:t xml:space="preserve"> of Saigon Traffic Construction Joint Stock Company to organize and implement the contents approved by the General Meeting of Shareholders in this Mandate and carry out necessary procedures for implementation </w:t>
      </w:r>
      <w:r w:rsidR="005F4F2D">
        <w:rPr>
          <w:rFonts w:ascii="Arial" w:hAnsi="Arial" w:cs="Arial"/>
          <w:color w:val="010000"/>
          <w:sz w:val="20"/>
        </w:rPr>
        <w:t>under applicable laws.</w:t>
      </w:r>
    </w:p>
    <w:p w14:paraId="2E1C8C91" w14:textId="77777777" w:rsidR="00377650" w:rsidRPr="00562C37"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The Supervisory Board of Saigon Traffic Construction Joint Stock Company is responsible for monitoring the implementation of the Meeting's Mandate.</w:t>
      </w:r>
    </w:p>
    <w:p w14:paraId="1849723E" w14:textId="573DFC31" w:rsidR="00377650" w:rsidRPr="00113863" w:rsidRDefault="00113863" w:rsidP="005F4F2D">
      <w:pPr>
        <w:widowControl w:val="0"/>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2C37">
        <w:rPr>
          <w:rFonts w:ascii="Arial" w:hAnsi="Arial" w:cs="Arial"/>
          <w:color w:val="010000"/>
          <w:sz w:val="20"/>
        </w:rPr>
        <w:t xml:space="preserve">Article 13. This </w:t>
      </w:r>
      <w:r w:rsidR="005F4F2D">
        <w:rPr>
          <w:rFonts w:ascii="Arial" w:hAnsi="Arial" w:cs="Arial"/>
          <w:color w:val="010000"/>
          <w:sz w:val="20"/>
        </w:rPr>
        <w:t xml:space="preserve">General </w:t>
      </w:r>
      <w:bookmarkStart w:id="1" w:name="_GoBack"/>
      <w:bookmarkEnd w:id="1"/>
      <w:r w:rsidRPr="00562C37">
        <w:rPr>
          <w:rFonts w:ascii="Arial" w:hAnsi="Arial" w:cs="Arial"/>
          <w:color w:val="010000"/>
          <w:sz w:val="20"/>
        </w:rPr>
        <w:t>Mandate takes effect on the date of its signing.</w:t>
      </w:r>
    </w:p>
    <w:p w14:paraId="54B066A6" w14:textId="77777777" w:rsidR="00377650" w:rsidRPr="00113863" w:rsidRDefault="00113863" w:rsidP="005F4F2D">
      <w:pPr>
        <w:widowControl w:val="0"/>
        <w:pBdr>
          <w:top w:val="nil"/>
          <w:left w:val="nil"/>
          <w:bottom w:val="nil"/>
          <w:right w:val="nil"/>
          <w:between w:val="nil"/>
        </w:pBdr>
        <w:tabs>
          <w:tab w:val="left" w:pos="432"/>
          <w:tab w:val="left" w:pos="4947"/>
          <w:tab w:val="left" w:pos="7328"/>
          <w:tab w:val="left" w:pos="7458"/>
        </w:tabs>
        <w:spacing w:after="120" w:line="360" w:lineRule="auto"/>
        <w:jc w:val="both"/>
        <w:rPr>
          <w:rFonts w:ascii="Arial" w:eastAsia="Arial" w:hAnsi="Arial" w:cs="Arial"/>
          <w:color w:val="010000"/>
          <w:sz w:val="20"/>
          <w:szCs w:val="20"/>
        </w:rPr>
      </w:pPr>
      <w:r w:rsidRPr="00113863">
        <w:rPr>
          <w:rFonts w:ascii="Arial" w:hAnsi="Arial" w:cs="Arial"/>
          <w:color w:val="010000"/>
          <w:sz w:val="20"/>
        </w:rPr>
        <w:t xml:space="preserve"> </w:t>
      </w:r>
    </w:p>
    <w:sectPr w:rsidR="00377650" w:rsidRPr="00113863" w:rsidSect="001138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2CD4"/>
    <w:multiLevelType w:val="multilevel"/>
    <w:tmpl w:val="F4CE4E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2D1114"/>
    <w:multiLevelType w:val="multilevel"/>
    <w:tmpl w:val="D2024C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491C1F"/>
    <w:multiLevelType w:val="multilevel"/>
    <w:tmpl w:val="F9BA16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E175E55"/>
    <w:multiLevelType w:val="multilevel"/>
    <w:tmpl w:val="37BC91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B6C54D8"/>
    <w:multiLevelType w:val="multilevel"/>
    <w:tmpl w:val="EEE08688"/>
    <w:lvl w:ilvl="0">
      <w:start w:val="1"/>
      <w:numFmt w:val="bullet"/>
      <w:lvlText w:val="❖"/>
      <w:lvlJc w:val="left"/>
      <w:pPr>
        <w:ind w:left="770" w:hanging="360"/>
      </w:pPr>
      <w:rPr>
        <w:rFonts w:ascii="Noto Sans Symbols" w:eastAsia="Noto Sans Symbols" w:hAnsi="Noto Sans Symbols" w:cs="Noto Sans Symbols"/>
        <w:b w:val="0"/>
        <w:i w:val="0"/>
        <w:sz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 w15:restartNumberingAfterBreak="0">
    <w:nsid w:val="78F475C5"/>
    <w:multiLevelType w:val="multilevel"/>
    <w:tmpl w:val="29A4F5E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50"/>
    <w:rsid w:val="00113863"/>
    <w:rsid w:val="00377650"/>
    <w:rsid w:val="00562C37"/>
    <w:rsid w:val="005F4F2D"/>
    <w:rsid w:val="007D2C05"/>
    <w:rsid w:val="00814CB0"/>
    <w:rsid w:val="00817FD9"/>
    <w:rsid w:val="00B44E7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AC2D7"/>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A313E"/>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A313E"/>
      <w:sz w:val="36"/>
      <w:szCs w:val="3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6">
    <w:name w:val="Body text (6)_"/>
    <w:basedOn w:val="DefaultParagraphFont"/>
    <w:link w:val="Bodytext60"/>
    <w:rPr>
      <w:rFonts w:ascii="Century Gothic" w:eastAsia="Century Gothic" w:hAnsi="Century Gothic" w:cs="Century Gothic"/>
      <w:b/>
      <w:bCs/>
      <w:i w:val="0"/>
      <w:iCs w:val="0"/>
      <w:smallCaps w:val="0"/>
      <w:strike w:val="0"/>
      <w:color w:val="C45C74"/>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45C74"/>
      <w:sz w:val="10"/>
      <w:szCs w:val="10"/>
      <w:u w:val="none"/>
      <w:shd w:val="clear" w:color="auto" w:fill="auto"/>
    </w:rPr>
  </w:style>
  <w:style w:type="paragraph" w:styleId="BodyText">
    <w:name w:val="Body Text"/>
    <w:basedOn w:val="Normal"/>
    <w:link w:val="BodyTextChar"/>
    <w:qFormat/>
    <w:pPr>
      <w:widowControl w:val="0"/>
      <w:spacing w:line="257" w:lineRule="auto"/>
      <w:ind w:firstLine="20"/>
    </w:pPr>
    <w:rPr>
      <w:rFonts w:ascii="Times New Roman" w:eastAsia="Times New Roman" w:hAnsi="Times New Roman" w:cs="Times New Roman"/>
      <w:sz w:val="26"/>
      <w:szCs w:val="26"/>
    </w:rPr>
  </w:style>
  <w:style w:type="paragraph" w:customStyle="1" w:styleId="Heading21">
    <w:name w:val="Heading #2"/>
    <w:basedOn w:val="Normal"/>
    <w:link w:val="Heading20"/>
    <w:pPr>
      <w:widowControl w:val="0"/>
      <w:ind w:left="1910"/>
      <w:outlineLvl w:val="1"/>
    </w:pPr>
    <w:rPr>
      <w:rFonts w:ascii="Times New Roman" w:eastAsia="Times New Roman" w:hAnsi="Times New Roman" w:cs="Times New Roman"/>
      <w:b/>
      <w:bCs/>
      <w:color w:val="2A313E"/>
      <w:sz w:val="26"/>
      <w:szCs w:val="26"/>
    </w:rPr>
  </w:style>
  <w:style w:type="paragraph" w:customStyle="1" w:styleId="Heading11">
    <w:name w:val="Heading #1"/>
    <w:basedOn w:val="Normal"/>
    <w:link w:val="Heading10"/>
    <w:pPr>
      <w:widowControl w:val="0"/>
      <w:ind w:left="4740"/>
      <w:outlineLvl w:val="0"/>
    </w:pPr>
    <w:rPr>
      <w:rFonts w:ascii="Times New Roman" w:eastAsia="Times New Roman" w:hAnsi="Times New Roman" w:cs="Times New Roman"/>
      <w:b/>
      <w:bCs/>
      <w:color w:val="2A313E"/>
      <w:sz w:val="36"/>
      <w:szCs w:val="36"/>
    </w:rPr>
  </w:style>
  <w:style w:type="paragraph" w:customStyle="1" w:styleId="Tablecaption0">
    <w:name w:val="Table caption"/>
    <w:basedOn w:val="Normal"/>
    <w:link w:val="Tablecaption"/>
    <w:pPr>
      <w:widowControl w:val="0"/>
    </w:pPr>
    <w:rPr>
      <w:rFonts w:ascii="Times New Roman" w:eastAsia="Times New Roman" w:hAnsi="Times New Roman" w:cs="Times New Roman"/>
      <w:sz w:val="26"/>
      <w:szCs w:val="26"/>
    </w:rPr>
  </w:style>
  <w:style w:type="paragraph" w:customStyle="1" w:styleId="Other0">
    <w:name w:val="Other"/>
    <w:basedOn w:val="Normal"/>
    <w:link w:val="Other"/>
    <w:pPr>
      <w:widowControl w:val="0"/>
      <w:spacing w:line="257" w:lineRule="auto"/>
      <w:ind w:firstLine="20"/>
    </w:pPr>
    <w:rPr>
      <w:rFonts w:ascii="Times New Roman" w:eastAsia="Times New Roman" w:hAnsi="Times New Roman" w:cs="Times New Roman"/>
      <w:sz w:val="26"/>
      <w:szCs w:val="26"/>
    </w:rPr>
  </w:style>
  <w:style w:type="paragraph" w:customStyle="1" w:styleId="Bodytext40">
    <w:name w:val="Body text (4)"/>
    <w:basedOn w:val="Normal"/>
    <w:link w:val="Bodytext4"/>
    <w:pPr>
      <w:widowControl w:val="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widowControl w:val="0"/>
    </w:pPr>
    <w:rPr>
      <w:rFonts w:ascii="Times New Roman" w:eastAsia="Times New Roman" w:hAnsi="Times New Roman" w:cs="Times New Roman"/>
      <w:color w:val="FF0000"/>
      <w:sz w:val="13"/>
      <w:szCs w:val="13"/>
    </w:rPr>
  </w:style>
  <w:style w:type="paragraph" w:customStyle="1" w:styleId="Bodytext30">
    <w:name w:val="Body text (3)"/>
    <w:basedOn w:val="Normal"/>
    <w:link w:val="Bodytext3"/>
    <w:pPr>
      <w:widowControl w:val="0"/>
    </w:pPr>
    <w:rPr>
      <w:rFonts w:ascii="Times New Roman" w:eastAsia="Times New Roman" w:hAnsi="Times New Roman" w:cs="Times New Roman"/>
      <w:sz w:val="19"/>
      <w:szCs w:val="19"/>
    </w:rPr>
  </w:style>
  <w:style w:type="paragraph" w:customStyle="1" w:styleId="Bodytext60">
    <w:name w:val="Body text (6)"/>
    <w:basedOn w:val="Normal"/>
    <w:link w:val="Bodytext6"/>
    <w:pPr>
      <w:widowControl w:val="0"/>
      <w:jc w:val="right"/>
    </w:pPr>
    <w:rPr>
      <w:rFonts w:ascii="Century Gothic" w:eastAsia="Century Gothic" w:hAnsi="Century Gothic" w:cs="Century Gothic"/>
      <w:b/>
      <w:bCs/>
      <w:color w:val="C45C74"/>
      <w:sz w:val="16"/>
      <w:szCs w:val="16"/>
    </w:rPr>
  </w:style>
  <w:style w:type="paragraph" w:customStyle="1" w:styleId="Bodytext50">
    <w:name w:val="Body text (5)"/>
    <w:basedOn w:val="Normal"/>
    <w:link w:val="Bodytext5"/>
    <w:pPr>
      <w:widowControl w:val="0"/>
      <w:ind w:left="4180"/>
    </w:pPr>
    <w:rPr>
      <w:rFonts w:ascii="Arial" w:eastAsia="Arial" w:hAnsi="Arial" w:cs="Arial"/>
      <w:color w:val="C45C74"/>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G/SWVGD1sgncZh7bULzHwjAyPw==">CgMxLjAyCGguZ2pkZ3hzOAByITE5eU9LUUp1WkQ4UEtuX2lYWjdGMi0zWmtVd3NZcXROeQ==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2024-04-26T04:27:00Z</dcterms:created>
  <dcterms:modified xsi:type="dcterms:W3CDTF">2024-04-26T04:27:00Z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27188792618f1d9d8cc9117b892e790c5292ae2d877448b2de8d207f7979c13b</vt:lpwstr>
  </property>
</Properties>
</file>