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7AA21" w14:textId="77777777" w:rsidR="004447B8" w:rsidRPr="0053512A" w:rsidRDefault="008F128D" w:rsidP="0011112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53512A">
        <w:rPr>
          <w:rFonts w:ascii="Arial" w:hAnsi="Arial" w:cs="Arial"/>
          <w:b/>
          <w:color w:val="010000"/>
          <w:sz w:val="20"/>
        </w:rPr>
        <w:t>HLS: Annual General Mandate 2024</w:t>
      </w:r>
    </w:p>
    <w:p w14:paraId="4AF6946C" w14:textId="3D154318" w:rsidR="004447B8" w:rsidRPr="0053512A" w:rsidRDefault="008F128D" w:rsidP="001111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12A">
        <w:rPr>
          <w:rFonts w:ascii="Arial" w:hAnsi="Arial" w:cs="Arial"/>
          <w:color w:val="010000"/>
          <w:sz w:val="20"/>
        </w:rPr>
        <w:t>On April 20</w:t>
      </w:r>
      <w:r w:rsidR="00111126">
        <w:rPr>
          <w:rFonts w:ascii="Arial" w:hAnsi="Arial" w:cs="Arial"/>
          <w:color w:val="010000"/>
          <w:sz w:val="20"/>
        </w:rPr>
        <w:t>, 2024</w:t>
      </w:r>
      <w:r w:rsidRPr="0053512A">
        <w:rPr>
          <w:rFonts w:ascii="Arial" w:hAnsi="Arial" w:cs="Arial"/>
          <w:color w:val="010000"/>
          <w:sz w:val="20"/>
        </w:rPr>
        <w:t>, Hoang Lien Son Technical Ceramics Joint Stock Company announced General Mandate No. 01/NQ-DHDCD as follows:</w:t>
      </w:r>
    </w:p>
    <w:p w14:paraId="70A8C44E" w14:textId="77777777" w:rsidR="004447B8" w:rsidRPr="0053512A" w:rsidRDefault="008F128D" w:rsidP="001111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12A">
        <w:rPr>
          <w:rFonts w:ascii="Arial" w:hAnsi="Arial" w:cs="Arial"/>
          <w:color w:val="010000"/>
          <w:sz w:val="20"/>
        </w:rPr>
        <w:t>‎‎Article 1. Approve the following contents:</w:t>
      </w:r>
    </w:p>
    <w:p w14:paraId="157FD2B5" w14:textId="674F46C2" w:rsidR="004447B8" w:rsidRPr="0053512A" w:rsidRDefault="008F128D" w:rsidP="00111126">
      <w:pPr>
        <w:numPr>
          <w:ilvl w:val="0"/>
          <w:numId w:val="2"/>
        </w:numPr>
        <w:pBdr>
          <w:top w:val="nil"/>
          <w:left w:val="nil"/>
          <w:bottom w:val="nil"/>
          <w:right w:val="nil"/>
          <w:between w:val="nil"/>
        </w:pBdr>
        <w:tabs>
          <w:tab w:val="left" w:pos="432"/>
          <w:tab w:val="left" w:pos="1082"/>
        </w:tabs>
        <w:spacing w:after="120" w:line="360" w:lineRule="auto"/>
        <w:jc w:val="both"/>
        <w:rPr>
          <w:rFonts w:ascii="Arial" w:eastAsia="Arial" w:hAnsi="Arial" w:cs="Arial"/>
          <w:color w:val="010000"/>
          <w:sz w:val="20"/>
          <w:szCs w:val="20"/>
        </w:rPr>
      </w:pPr>
      <w:r w:rsidRPr="0053512A">
        <w:rPr>
          <w:rFonts w:ascii="Arial" w:hAnsi="Arial" w:cs="Arial"/>
          <w:color w:val="010000"/>
          <w:sz w:val="20"/>
        </w:rPr>
        <w:t>Annual Report</w:t>
      </w:r>
      <w:r w:rsidR="00B62C63" w:rsidRPr="0053512A">
        <w:rPr>
          <w:rFonts w:ascii="Arial" w:hAnsi="Arial" w:cs="Arial"/>
          <w:color w:val="010000"/>
          <w:sz w:val="20"/>
        </w:rPr>
        <w:t>s</w:t>
      </w:r>
      <w:r w:rsidRPr="0053512A">
        <w:rPr>
          <w:rFonts w:ascii="Arial" w:hAnsi="Arial" w:cs="Arial"/>
          <w:color w:val="010000"/>
          <w:sz w:val="20"/>
        </w:rPr>
        <w:t xml:space="preserve"> 2023, including:</w:t>
      </w:r>
    </w:p>
    <w:p w14:paraId="63C332A8" w14:textId="1E893D23" w:rsidR="004447B8" w:rsidRPr="0053512A" w:rsidRDefault="008F128D" w:rsidP="00111126">
      <w:pPr>
        <w:numPr>
          <w:ilvl w:val="0"/>
          <w:numId w:val="3"/>
        </w:numPr>
        <w:pBdr>
          <w:top w:val="nil"/>
          <w:left w:val="nil"/>
          <w:bottom w:val="nil"/>
          <w:right w:val="nil"/>
          <w:between w:val="nil"/>
        </w:pBdr>
        <w:tabs>
          <w:tab w:val="left" w:pos="432"/>
          <w:tab w:val="left" w:pos="1122"/>
        </w:tabs>
        <w:spacing w:after="120" w:line="360" w:lineRule="auto"/>
        <w:jc w:val="both"/>
        <w:rPr>
          <w:rFonts w:ascii="Arial" w:eastAsia="Arial" w:hAnsi="Arial" w:cs="Arial"/>
          <w:color w:val="010000"/>
          <w:sz w:val="20"/>
          <w:szCs w:val="20"/>
        </w:rPr>
      </w:pPr>
      <w:r w:rsidRPr="0053512A">
        <w:rPr>
          <w:rFonts w:ascii="Arial" w:hAnsi="Arial" w:cs="Arial"/>
          <w:color w:val="010000"/>
          <w:sz w:val="20"/>
        </w:rPr>
        <w:t xml:space="preserve">Report of the Board of Directors and </w:t>
      </w:r>
      <w:r w:rsidR="00111126">
        <w:rPr>
          <w:rFonts w:ascii="Arial" w:hAnsi="Arial" w:cs="Arial"/>
          <w:color w:val="010000"/>
          <w:sz w:val="20"/>
        </w:rPr>
        <w:t>Executive Board</w:t>
      </w:r>
      <w:r w:rsidRPr="0053512A">
        <w:rPr>
          <w:rFonts w:ascii="Arial" w:hAnsi="Arial" w:cs="Arial"/>
          <w:color w:val="010000"/>
          <w:sz w:val="20"/>
        </w:rPr>
        <w:t xml:space="preserve"> on activities of the Company in 2023:</w:t>
      </w:r>
    </w:p>
    <w:p w14:paraId="527B4D1E" w14:textId="350D9BE3" w:rsidR="004447B8" w:rsidRPr="0053512A" w:rsidRDefault="008F128D" w:rsidP="00111126">
      <w:pPr>
        <w:numPr>
          <w:ilvl w:val="0"/>
          <w:numId w:val="3"/>
        </w:numPr>
        <w:pBdr>
          <w:top w:val="nil"/>
          <w:left w:val="nil"/>
          <w:bottom w:val="nil"/>
          <w:right w:val="nil"/>
          <w:between w:val="nil"/>
        </w:pBdr>
        <w:tabs>
          <w:tab w:val="left" w:pos="432"/>
          <w:tab w:val="left" w:pos="1121"/>
        </w:tabs>
        <w:spacing w:after="120" w:line="360" w:lineRule="auto"/>
        <w:jc w:val="both"/>
        <w:rPr>
          <w:rFonts w:ascii="Arial" w:eastAsia="Arial" w:hAnsi="Arial" w:cs="Arial"/>
          <w:color w:val="010000"/>
          <w:sz w:val="20"/>
          <w:szCs w:val="20"/>
        </w:rPr>
      </w:pPr>
      <w:r w:rsidRPr="0053512A">
        <w:rPr>
          <w:rFonts w:ascii="Arial" w:hAnsi="Arial" w:cs="Arial"/>
          <w:color w:val="010000"/>
          <w:sz w:val="20"/>
        </w:rPr>
        <w:t>Plan</w:t>
      </w:r>
      <w:r w:rsidR="00B62C63" w:rsidRPr="0053512A">
        <w:rPr>
          <w:rFonts w:ascii="Arial" w:hAnsi="Arial" w:cs="Arial"/>
          <w:color w:val="010000"/>
          <w:sz w:val="20"/>
        </w:rPr>
        <w:t xml:space="preserve"> 2024</w:t>
      </w:r>
      <w:r w:rsidRPr="0053512A">
        <w:rPr>
          <w:rFonts w:ascii="Arial" w:hAnsi="Arial" w:cs="Arial"/>
          <w:color w:val="010000"/>
          <w:sz w:val="20"/>
        </w:rPr>
        <w:t>:</w:t>
      </w:r>
    </w:p>
    <w:p w14:paraId="5F4A5BED" w14:textId="77777777" w:rsidR="004447B8" w:rsidRPr="0053512A" w:rsidRDefault="008F128D" w:rsidP="00111126">
      <w:pPr>
        <w:numPr>
          <w:ilvl w:val="0"/>
          <w:numId w:val="4"/>
        </w:numPr>
        <w:pBdr>
          <w:top w:val="nil"/>
          <w:left w:val="nil"/>
          <w:bottom w:val="nil"/>
          <w:right w:val="nil"/>
          <w:between w:val="nil"/>
        </w:pBdr>
        <w:tabs>
          <w:tab w:val="left" w:pos="432"/>
          <w:tab w:val="left" w:pos="1431"/>
        </w:tabs>
        <w:spacing w:after="120" w:line="360" w:lineRule="auto"/>
        <w:jc w:val="both"/>
        <w:rPr>
          <w:rFonts w:ascii="Arial" w:eastAsia="Arial" w:hAnsi="Arial" w:cs="Arial"/>
          <w:color w:val="010000"/>
          <w:sz w:val="20"/>
          <w:szCs w:val="20"/>
        </w:rPr>
      </w:pPr>
      <w:r w:rsidRPr="0053512A">
        <w:rPr>
          <w:rFonts w:ascii="Arial" w:hAnsi="Arial" w:cs="Arial"/>
          <w:color w:val="010000"/>
          <w:sz w:val="20"/>
        </w:rPr>
        <w:t>production volume, consumption: 3,000 tons.</w:t>
      </w:r>
    </w:p>
    <w:p w14:paraId="42B57FBE" w14:textId="77777777" w:rsidR="004447B8" w:rsidRPr="0053512A" w:rsidRDefault="008F128D" w:rsidP="00111126">
      <w:pPr>
        <w:numPr>
          <w:ilvl w:val="0"/>
          <w:numId w:val="4"/>
        </w:numPr>
        <w:pBdr>
          <w:top w:val="nil"/>
          <w:left w:val="nil"/>
          <w:bottom w:val="nil"/>
          <w:right w:val="nil"/>
          <w:between w:val="nil"/>
        </w:pBdr>
        <w:tabs>
          <w:tab w:val="left" w:pos="432"/>
          <w:tab w:val="left" w:pos="1431"/>
        </w:tabs>
        <w:spacing w:after="120" w:line="360" w:lineRule="auto"/>
        <w:jc w:val="both"/>
        <w:rPr>
          <w:rFonts w:ascii="Arial" w:eastAsia="Arial" w:hAnsi="Arial" w:cs="Arial"/>
          <w:color w:val="010000"/>
          <w:sz w:val="20"/>
          <w:szCs w:val="20"/>
        </w:rPr>
      </w:pPr>
      <w:r w:rsidRPr="0053512A">
        <w:rPr>
          <w:rFonts w:ascii="Arial" w:hAnsi="Arial" w:cs="Arial"/>
          <w:color w:val="010000"/>
          <w:sz w:val="20"/>
        </w:rPr>
        <w:t>Consumption revenue VND 100 billion;</w:t>
      </w:r>
    </w:p>
    <w:p w14:paraId="47F28466" w14:textId="77777777" w:rsidR="004447B8" w:rsidRPr="0053512A" w:rsidRDefault="008F128D" w:rsidP="00111126">
      <w:pPr>
        <w:numPr>
          <w:ilvl w:val="0"/>
          <w:numId w:val="4"/>
        </w:numPr>
        <w:pBdr>
          <w:top w:val="nil"/>
          <w:left w:val="nil"/>
          <w:bottom w:val="nil"/>
          <w:right w:val="nil"/>
          <w:between w:val="nil"/>
        </w:pBdr>
        <w:tabs>
          <w:tab w:val="left" w:pos="432"/>
          <w:tab w:val="left" w:pos="1431"/>
        </w:tabs>
        <w:spacing w:after="120" w:line="360" w:lineRule="auto"/>
        <w:jc w:val="both"/>
        <w:rPr>
          <w:rFonts w:ascii="Arial" w:eastAsia="Arial" w:hAnsi="Arial" w:cs="Arial"/>
          <w:color w:val="010000"/>
          <w:sz w:val="20"/>
          <w:szCs w:val="20"/>
        </w:rPr>
      </w:pPr>
      <w:r w:rsidRPr="0053512A">
        <w:rPr>
          <w:rFonts w:ascii="Arial" w:hAnsi="Arial" w:cs="Arial"/>
          <w:color w:val="010000"/>
          <w:sz w:val="20"/>
        </w:rPr>
        <w:t>Proceeds: VND 108 billion;</w:t>
      </w:r>
    </w:p>
    <w:p w14:paraId="3DCE17DE" w14:textId="0283E711" w:rsidR="004447B8" w:rsidRPr="0053512A" w:rsidRDefault="008F128D" w:rsidP="00111126">
      <w:pPr>
        <w:numPr>
          <w:ilvl w:val="0"/>
          <w:numId w:val="4"/>
        </w:numPr>
        <w:pBdr>
          <w:top w:val="nil"/>
          <w:left w:val="nil"/>
          <w:bottom w:val="nil"/>
          <w:right w:val="nil"/>
          <w:between w:val="nil"/>
        </w:pBdr>
        <w:tabs>
          <w:tab w:val="left" w:pos="432"/>
          <w:tab w:val="left" w:pos="1431"/>
        </w:tabs>
        <w:spacing w:after="120" w:line="360" w:lineRule="auto"/>
        <w:jc w:val="both"/>
        <w:rPr>
          <w:rFonts w:ascii="Arial" w:eastAsia="Arial" w:hAnsi="Arial" w:cs="Arial"/>
          <w:color w:val="010000"/>
          <w:sz w:val="20"/>
          <w:szCs w:val="20"/>
        </w:rPr>
      </w:pPr>
      <w:r w:rsidRPr="0053512A">
        <w:rPr>
          <w:rFonts w:ascii="Arial" w:hAnsi="Arial" w:cs="Arial"/>
          <w:color w:val="010000"/>
          <w:sz w:val="20"/>
        </w:rPr>
        <w:t>Payable to State budget: Fully paid (expected VND 6.5 billion).</w:t>
      </w:r>
    </w:p>
    <w:p w14:paraId="26767F2F" w14:textId="65EEA84F" w:rsidR="004447B8" w:rsidRPr="0053512A" w:rsidRDefault="008F128D" w:rsidP="00111126">
      <w:pPr>
        <w:numPr>
          <w:ilvl w:val="0"/>
          <w:numId w:val="4"/>
        </w:numPr>
        <w:pBdr>
          <w:top w:val="nil"/>
          <w:left w:val="nil"/>
          <w:bottom w:val="nil"/>
          <w:right w:val="nil"/>
          <w:between w:val="nil"/>
        </w:pBdr>
        <w:tabs>
          <w:tab w:val="left" w:pos="432"/>
          <w:tab w:val="left" w:pos="1431"/>
        </w:tabs>
        <w:spacing w:after="120" w:line="360" w:lineRule="auto"/>
        <w:jc w:val="both"/>
        <w:rPr>
          <w:rFonts w:ascii="Arial" w:eastAsia="Arial" w:hAnsi="Arial" w:cs="Arial"/>
          <w:color w:val="010000"/>
          <w:sz w:val="20"/>
          <w:szCs w:val="20"/>
        </w:rPr>
      </w:pPr>
      <w:r w:rsidRPr="0053512A">
        <w:rPr>
          <w:rFonts w:ascii="Arial" w:hAnsi="Arial" w:cs="Arial"/>
          <w:color w:val="010000"/>
          <w:sz w:val="20"/>
        </w:rPr>
        <w:t>Pay for social insurance, health insurance, and unemployment insurance: Fully paid (expected VND 4.2 billion).</w:t>
      </w:r>
    </w:p>
    <w:p w14:paraId="2AF9F841" w14:textId="77777777" w:rsidR="004447B8" w:rsidRPr="0053512A" w:rsidRDefault="008F128D" w:rsidP="00111126">
      <w:pPr>
        <w:numPr>
          <w:ilvl w:val="0"/>
          <w:numId w:val="4"/>
        </w:numPr>
        <w:pBdr>
          <w:top w:val="nil"/>
          <w:left w:val="nil"/>
          <w:bottom w:val="nil"/>
          <w:right w:val="nil"/>
          <w:between w:val="nil"/>
        </w:pBdr>
        <w:tabs>
          <w:tab w:val="left" w:pos="432"/>
          <w:tab w:val="left" w:pos="1431"/>
        </w:tabs>
        <w:spacing w:after="120" w:line="360" w:lineRule="auto"/>
        <w:jc w:val="both"/>
        <w:rPr>
          <w:rFonts w:ascii="Arial" w:eastAsia="Arial" w:hAnsi="Arial" w:cs="Arial"/>
          <w:color w:val="010000"/>
          <w:sz w:val="20"/>
          <w:szCs w:val="20"/>
        </w:rPr>
      </w:pPr>
      <w:r w:rsidRPr="0053512A">
        <w:rPr>
          <w:rFonts w:ascii="Arial" w:hAnsi="Arial" w:cs="Arial"/>
          <w:color w:val="010000"/>
          <w:sz w:val="20"/>
        </w:rPr>
        <w:t>Profit before tax: Achieve 14% or more of revenue.</w:t>
      </w:r>
    </w:p>
    <w:p w14:paraId="52B5A8B5" w14:textId="77777777" w:rsidR="004447B8" w:rsidRPr="0053512A" w:rsidRDefault="008F128D" w:rsidP="00111126">
      <w:pPr>
        <w:numPr>
          <w:ilvl w:val="0"/>
          <w:numId w:val="4"/>
        </w:numPr>
        <w:pBdr>
          <w:top w:val="nil"/>
          <w:left w:val="nil"/>
          <w:bottom w:val="nil"/>
          <w:right w:val="nil"/>
          <w:between w:val="nil"/>
        </w:pBdr>
        <w:tabs>
          <w:tab w:val="left" w:pos="432"/>
          <w:tab w:val="left" w:pos="1431"/>
        </w:tabs>
        <w:spacing w:after="120" w:line="360" w:lineRule="auto"/>
        <w:jc w:val="both"/>
        <w:rPr>
          <w:rFonts w:ascii="Arial" w:eastAsia="Arial" w:hAnsi="Arial" w:cs="Arial"/>
          <w:color w:val="010000"/>
          <w:sz w:val="20"/>
          <w:szCs w:val="20"/>
        </w:rPr>
      </w:pPr>
      <w:r w:rsidRPr="0053512A">
        <w:rPr>
          <w:rFonts w:ascii="Arial" w:hAnsi="Arial" w:cs="Arial"/>
          <w:color w:val="010000"/>
          <w:sz w:val="20"/>
        </w:rPr>
        <w:t>Create stable jobs for about 200 workers with an average income of VND 7.3 million/person/month or more.</w:t>
      </w:r>
    </w:p>
    <w:p w14:paraId="1E161274" w14:textId="77777777" w:rsidR="004447B8" w:rsidRPr="0053512A" w:rsidRDefault="008F128D" w:rsidP="00111126">
      <w:pPr>
        <w:numPr>
          <w:ilvl w:val="0"/>
          <w:numId w:val="4"/>
        </w:numPr>
        <w:pBdr>
          <w:top w:val="nil"/>
          <w:left w:val="nil"/>
          <w:bottom w:val="nil"/>
          <w:right w:val="nil"/>
          <w:between w:val="nil"/>
        </w:pBdr>
        <w:tabs>
          <w:tab w:val="left" w:pos="432"/>
          <w:tab w:val="left" w:pos="1431"/>
        </w:tabs>
        <w:spacing w:after="120" w:line="360" w:lineRule="auto"/>
        <w:jc w:val="both"/>
        <w:rPr>
          <w:rFonts w:ascii="Arial" w:eastAsia="Arial" w:hAnsi="Arial" w:cs="Arial"/>
          <w:color w:val="010000"/>
          <w:sz w:val="20"/>
          <w:szCs w:val="20"/>
        </w:rPr>
      </w:pPr>
      <w:r w:rsidRPr="0053512A">
        <w:rPr>
          <w:rFonts w:ascii="Arial" w:hAnsi="Arial" w:cs="Arial"/>
          <w:color w:val="010000"/>
          <w:sz w:val="20"/>
        </w:rPr>
        <w:t xml:space="preserve">Successfully complete security and defense tasks; create the best conditions for Party organization and unions to operate. </w:t>
      </w:r>
    </w:p>
    <w:p w14:paraId="4FCEB8CB" w14:textId="77777777" w:rsidR="004447B8" w:rsidRPr="0053512A" w:rsidRDefault="008F128D" w:rsidP="00111126">
      <w:pPr>
        <w:numPr>
          <w:ilvl w:val="0"/>
          <w:numId w:val="2"/>
        </w:numPr>
        <w:pBdr>
          <w:top w:val="nil"/>
          <w:left w:val="nil"/>
          <w:bottom w:val="nil"/>
          <w:right w:val="nil"/>
          <w:between w:val="nil"/>
        </w:pBd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 xml:space="preserve">Audited Financial Statements 2023. </w:t>
      </w:r>
    </w:p>
    <w:p w14:paraId="4894169E" w14:textId="7DAD51A3" w:rsidR="004447B8" w:rsidRPr="0053512A" w:rsidRDefault="008F128D" w:rsidP="00111126">
      <w:pPr>
        <w:numPr>
          <w:ilvl w:val="0"/>
          <w:numId w:val="2"/>
        </w:numPr>
        <w:pBdr>
          <w:top w:val="nil"/>
          <w:left w:val="nil"/>
          <w:bottom w:val="nil"/>
          <w:right w:val="nil"/>
          <w:between w:val="nil"/>
        </w:pBd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 xml:space="preserve">The Company’s Income Statement of the Supervisory Board on the results of the Board of Directors and </w:t>
      </w:r>
      <w:r w:rsidR="00111126">
        <w:rPr>
          <w:rFonts w:ascii="Arial" w:hAnsi="Arial" w:cs="Arial"/>
          <w:color w:val="010000"/>
          <w:sz w:val="20"/>
        </w:rPr>
        <w:t>Managing Director</w:t>
      </w:r>
      <w:r w:rsidRPr="0053512A">
        <w:rPr>
          <w:rFonts w:ascii="Arial" w:hAnsi="Arial" w:cs="Arial"/>
          <w:color w:val="010000"/>
          <w:sz w:val="20"/>
        </w:rPr>
        <w:t xml:space="preserve"> in 2023; Self-assessment Report on the results of the Supervisory Board and the supervisor in 2023.</w:t>
      </w:r>
    </w:p>
    <w:p w14:paraId="74348130" w14:textId="77777777" w:rsidR="004447B8" w:rsidRPr="0053512A" w:rsidRDefault="008F128D" w:rsidP="00111126">
      <w:pPr>
        <w:pBdr>
          <w:top w:val="nil"/>
          <w:left w:val="nil"/>
          <w:bottom w:val="nil"/>
          <w:right w:val="nil"/>
          <w:between w:val="nil"/>
        </w:pBd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Results of production and business activities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605"/>
        <w:gridCol w:w="2787"/>
        <w:gridCol w:w="1741"/>
        <w:gridCol w:w="879"/>
        <w:gridCol w:w="1016"/>
        <w:gridCol w:w="974"/>
        <w:gridCol w:w="1015"/>
      </w:tblGrid>
      <w:tr w:rsidR="004447B8" w:rsidRPr="0053512A" w14:paraId="651A8EB4" w14:textId="77777777" w:rsidTr="008F128D">
        <w:tc>
          <w:tcPr>
            <w:tcW w:w="381" w:type="pct"/>
            <w:shd w:val="clear" w:color="auto" w:fill="auto"/>
            <w:tcMar>
              <w:top w:w="0" w:type="dxa"/>
              <w:left w:w="20" w:type="dxa"/>
              <w:bottom w:w="0" w:type="dxa"/>
              <w:right w:w="20" w:type="dxa"/>
            </w:tcMar>
            <w:vAlign w:val="center"/>
          </w:tcPr>
          <w:p w14:paraId="1D4D0DD1"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No.</w:t>
            </w:r>
          </w:p>
        </w:tc>
        <w:tc>
          <w:tcPr>
            <w:tcW w:w="1591" w:type="pct"/>
            <w:shd w:val="clear" w:color="auto" w:fill="auto"/>
            <w:tcMar>
              <w:top w:w="0" w:type="dxa"/>
              <w:left w:w="20" w:type="dxa"/>
              <w:bottom w:w="0" w:type="dxa"/>
              <w:right w:w="20" w:type="dxa"/>
            </w:tcMar>
            <w:vAlign w:val="center"/>
          </w:tcPr>
          <w:p w14:paraId="3017DCAD"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Explanation</w:t>
            </w:r>
          </w:p>
        </w:tc>
        <w:tc>
          <w:tcPr>
            <w:tcW w:w="753" w:type="pct"/>
            <w:shd w:val="clear" w:color="auto" w:fill="auto"/>
            <w:tcMar>
              <w:top w:w="0" w:type="dxa"/>
              <w:left w:w="20" w:type="dxa"/>
              <w:bottom w:w="0" w:type="dxa"/>
              <w:right w:w="20" w:type="dxa"/>
            </w:tcMar>
            <w:vAlign w:val="center"/>
          </w:tcPr>
          <w:p w14:paraId="1E7992D8"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Units</w:t>
            </w:r>
          </w:p>
        </w:tc>
        <w:tc>
          <w:tcPr>
            <w:tcW w:w="533" w:type="pct"/>
            <w:shd w:val="clear" w:color="auto" w:fill="auto"/>
            <w:tcMar>
              <w:top w:w="0" w:type="dxa"/>
              <w:left w:w="20" w:type="dxa"/>
              <w:bottom w:w="0" w:type="dxa"/>
              <w:right w:w="20" w:type="dxa"/>
            </w:tcMar>
            <w:vAlign w:val="center"/>
          </w:tcPr>
          <w:p w14:paraId="39033293" w14:textId="5E101993"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Plan</w:t>
            </w:r>
            <w:r w:rsidR="00B62C63" w:rsidRPr="0053512A">
              <w:rPr>
                <w:rFonts w:ascii="Arial" w:hAnsi="Arial" w:cs="Arial"/>
                <w:color w:val="010000"/>
                <w:sz w:val="20"/>
              </w:rPr>
              <w:t xml:space="preserve"> 2023</w:t>
            </w:r>
          </w:p>
        </w:tc>
        <w:tc>
          <w:tcPr>
            <w:tcW w:w="609" w:type="pct"/>
            <w:shd w:val="clear" w:color="auto" w:fill="auto"/>
            <w:tcMar>
              <w:top w:w="0" w:type="dxa"/>
              <w:left w:w="20" w:type="dxa"/>
              <w:bottom w:w="0" w:type="dxa"/>
              <w:right w:w="20" w:type="dxa"/>
            </w:tcMar>
            <w:vAlign w:val="center"/>
          </w:tcPr>
          <w:p w14:paraId="4AB7FD87" w14:textId="6D48A7C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Results</w:t>
            </w:r>
            <w:r w:rsidR="00B62C63" w:rsidRPr="0053512A">
              <w:rPr>
                <w:rFonts w:ascii="Arial" w:hAnsi="Arial" w:cs="Arial"/>
                <w:color w:val="010000"/>
                <w:sz w:val="20"/>
              </w:rPr>
              <w:t xml:space="preserve"> 2023</w:t>
            </w:r>
          </w:p>
        </w:tc>
        <w:tc>
          <w:tcPr>
            <w:tcW w:w="525" w:type="pct"/>
            <w:shd w:val="clear" w:color="auto" w:fill="auto"/>
            <w:tcMar>
              <w:top w:w="0" w:type="dxa"/>
              <w:left w:w="20" w:type="dxa"/>
              <w:bottom w:w="0" w:type="dxa"/>
              <w:right w:w="20" w:type="dxa"/>
            </w:tcMar>
            <w:vAlign w:val="center"/>
          </w:tcPr>
          <w:p w14:paraId="0F8612DD" w14:textId="20AA470C"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Compared to</w:t>
            </w:r>
            <w:r w:rsidR="00B62C63" w:rsidRPr="0053512A">
              <w:rPr>
                <w:rFonts w:ascii="Arial" w:hAnsi="Arial" w:cs="Arial"/>
                <w:color w:val="010000"/>
                <w:sz w:val="20"/>
              </w:rPr>
              <w:t xml:space="preserve"> that in</w:t>
            </w:r>
            <w:r w:rsidRPr="0053512A">
              <w:rPr>
                <w:rFonts w:ascii="Arial" w:hAnsi="Arial" w:cs="Arial"/>
                <w:color w:val="010000"/>
                <w:sz w:val="20"/>
              </w:rPr>
              <w:t xml:space="preserve"> Plan 2023 (%)</w:t>
            </w:r>
          </w:p>
        </w:tc>
        <w:tc>
          <w:tcPr>
            <w:tcW w:w="609" w:type="pct"/>
            <w:shd w:val="clear" w:color="auto" w:fill="auto"/>
            <w:tcMar>
              <w:top w:w="0" w:type="dxa"/>
              <w:left w:w="20" w:type="dxa"/>
              <w:bottom w:w="0" w:type="dxa"/>
              <w:right w:w="20" w:type="dxa"/>
            </w:tcMar>
            <w:vAlign w:val="center"/>
          </w:tcPr>
          <w:p w14:paraId="258E7490"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Compared to it in the same period in 2022 (%)</w:t>
            </w:r>
          </w:p>
        </w:tc>
      </w:tr>
      <w:tr w:rsidR="004447B8" w:rsidRPr="0053512A" w14:paraId="16EF4C41" w14:textId="77777777" w:rsidTr="008F128D">
        <w:tc>
          <w:tcPr>
            <w:tcW w:w="381" w:type="pct"/>
            <w:shd w:val="clear" w:color="auto" w:fill="auto"/>
            <w:tcMar>
              <w:top w:w="0" w:type="dxa"/>
              <w:left w:w="20" w:type="dxa"/>
              <w:bottom w:w="0" w:type="dxa"/>
              <w:right w:w="20" w:type="dxa"/>
            </w:tcMar>
            <w:vAlign w:val="center"/>
          </w:tcPr>
          <w:p w14:paraId="46E179CA"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1</w:t>
            </w:r>
          </w:p>
        </w:tc>
        <w:tc>
          <w:tcPr>
            <w:tcW w:w="1591" w:type="pct"/>
            <w:shd w:val="clear" w:color="auto" w:fill="auto"/>
            <w:tcMar>
              <w:top w:w="0" w:type="dxa"/>
              <w:left w:w="20" w:type="dxa"/>
              <w:bottom w:w="0" w:type="dxa"/>
              <w:right w:w="20" w:type="dxa"/>
            </w:tcMar>
            <w:vAlign w:val="center"/>
          </w:tcPr>
          <w:p w14:paraId="530A1186"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Production volume</w:t>
            </w:r>
          </w:p>
        </w:tc>
        <w:tc>
          <w:tcPr>
            <w:tcW w:w="753" w:type="pct"/>
            <w:shd w:val="clear" w:color="auto" w:fill="auto"/>
            <w:tcMar>
              <w:top w:w="0" w:type="dxa"/>
              <w:left w:w="20" w:type="dxa"/>
              <w:bottom w:w="0" w:type="dxa"/>
              <w:right w:w="20" w:type="dxa"/>
            </w:tcMar>
            <w:vAlign w:val="center"/>
          </w:tcPr>
          <w:p w14:paraId="444F2509"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Tons</w:t>
            </w:r>
          </w:p>
        </w:tc>
        <w:tc>
          <w:tcPr>
            <w:tcW w:w="533" w:type="pct"/>
            <w:shd w:val="clear" w:color="auto" w:fill="auto"/>
            <w:tcMar>
              <w:top w:w="0" w:type="dxa"/>
              <w:left w:w="20" w:type="dxa"/>
              <w:bottom w:w="0" w:type="dxa"/>
              <w:right w:w="20" w:type="dxa"/>
            </w:tcMar>
            <w:vAlign w:val="center"/>
          </w:tcPr>
          <w:p w14:paraId="2B4C9E91"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3,200</w:t>
            </w:r>
          </w:p>
        </w:tc>
        <w:tc>
          <w:tcPr>
            <w:tcW w:w="609" w:type="pct"/>
            <w:shd w:val="clear" w:color="auto" w:fill="auto"/>
            <w:tcMar>
              <w:top w:w="0" w:type="dxa"/>
              <w:left w:w="20" w:type="dxa"/>
              <w:bottom w:w="0" w:type="dxa"/>
              <w:right w:w="20" w:type="dxa"/>
            </w:tcMar>
            <w:vAlign w:val="center"/>
          </w:tcPr>
          <w:p w14:paraId="356BE16A"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2,489</w:t>
            </w:r>
          </w:p>
        </w:tc>
        <w:tc>
          <w:tcPr>
            <w:tcW w:w="525" w:type="pct"/>
            <w:shd w:val="clear" w:color="auto" w:fill="auto"/>
            <w:tcMar>
              <w:top w:w="0" w:type="dxa"/>
              <w:left w:w="20" w:type="dxa"/>
              <w:bottom w:w="0" w:type="dxa"/>
              <w:right w:w="20" w:type="dxa"/>
            </w:tcMar>
            <w:vAlign w:val="center"/>
          </w:tcPr>
          <w:p w14:paraId="06B376F4"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77.8</w:t>
            </w:r>
          </w:p>
        </w:tc>
        <w:tc>
          <w:tcPr>
            <w:tcW w:w="609" w:type="pct"/>
            <w:shd w:val="clear" w:color="auto" w:fill="auto"/>
            <w:tcMar>
              <w:top w:w="0" w:type="dxa"/>
              <w:left w:w="20" w:type="dxa"/>
              <w:bottom w:w="0" w:type="dxa"/>
              <w:right w:w="20" w:type="dxa"/>
            </w:tcMar>
            <w:vAlign w:val="center"/>
          </w:tcPr>
          <w:p w14:paraId="2DE72125"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74.9</w:t>
            </w:r>
          </w:p>
        </w:tc>
      </w:tr>
      <w:tr w:rsidR="004447B8" w:rsidRPr="0053512A" w14:paraId="0642AE0E" w14:textId="77777777" w:rsidTr="008F128D">
        <w:tc>
          <w:tcPr>
            <w:tcW w:w="381" w:type="pct"/>
            <w:shd w:val="clear" w:color="auto" w:fill="auto"/>
            <w:tcMar>
              <w:top w:w="0" w:type="dxa"/>
              <w:left w:w="20" w:type="dxa"/>
              <w:bottom w:w="0" w:type="dxa"/>
              <w:right w:w="20" w:type="dxa"/>
            </w:tcMar>
            <w:vAlign w:val="center"/>
          </w:tcPr>
          <w:p w14:paraId="754D1BD9"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2</w:t>
            </w:r>
          </w:p>
        </w:tc>
        <w:tc>
          <w:tcPr>
            <w:tcW w:w="1591" w:type="pct"/>
            <w:shd w:val="clear" w:color="auto" w:fill="auto"/>
            <w:tcMar>
              <w:top w:w="0" w:type="dxa"/>
              <w:left w:w="20" w:type="dxa"/>
              <w:bottom w:w="0" w:type="dxa"/>
              <w:right w:w="20" w:type="dxa"/>
            </w:tcMar>
            <w:vAlign w:val="center"/>
          </w:tcPr>
          <w:p w14:paraId="2A32438D"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Sale volume</w:t>
            </w:r>
          </w:p>
        </w:tc>
        <w:tc>
          <w:tcPr>
            <w:tcW w:w="753" w:type="pct"/>
            <w:shd w:val="clear" w:color="auto" w:fill="auto"/>
            <w:tcMar>
              <w:top w:w="0" w:type="dxa"/>
              <w:left w:w="20" w:type="dxa"/>
              <w:bottom w:w="0" w:type="dxa"/>
              <w:right w:w="20" w:type="dxa"/>
            </w:tcMar>
            <w:vAlign w:val="center"/>
          </w:tcPr>
          <w:p w14:paraId="65564B77"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Tons</w:t>
            </w:r>
          </w:p>
        </w:tc>
        <w:tc>
          <w:tcPr>
            <w:tcW w:w="533" w:type="pct"/>
            <w:shd w:val="clear" w:color="auto" w:fill="auto"/>
            <w:tcMar>
              <w:top w:w="0" w:type="dxa"/>
              <w:left w:w="20" w:type="dxa"/>
              <w:bottom w:w="0" w:type="dxa"/>
              <w:right w:w="20" w:type="dxa"/>
            </w:tcMar>
            <w:vAlign w:val="center"/>
          </w:tcPr>
          <w:p w14:paraId="3A9A0CDE"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3,200</w:t>
            </w:r>
          </w:p>
        </w:tc>
        <w:tc>
          <w:tcPr>
            <w:tcW w:w="609" w:type="pct"/>
            <w:shd w:val="clear" w:color="auto" w:fill="auto"/>
            <w:tcMar>
              <w:top w:w="0" w:type="dxa"/>
              <w:left w:w="20" w:type="dxa"/>
              <w:bottom w:w="0" w:type="dxa"/>
              <w:right w:w="20" w:type="dxa"/>
            </w:tcMar>
            <w:vAlign w:val="center"/>
          </w:tcPr>
          <w:p w14:paraId="42EC650F"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2,772</w:t>
            </w:r>
          </w:p>
        </w:tc>
        <w:tc>
          <w:tcPr>
            <w:tcW w:w="525" w:type="pct"/>
            <w:shd w:val="clear" w:color="auto" w:fill="auto"/>
            <w:tcMar>
              <w:top w:w="0" w:type="dxa"/>
              <w:left w:w="20" w:type="dxa"/>
              <w:bottom w:w="0" w:type="dxa"/>
              <w:right w:w="20" w:type="dxa"/>
            </w:tcMar>
            <w:vAlign w:val="center"/>
          </w:tcPr>
          <w:p w14:paraId="01EDC413"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86.6</w:t>
            </w:r>
          </w:p>
        </w:tc>
        <w:tc>
          <w:tcPr>
            <w:tcW w:w="609" w:type="pct"/>
            <w:shd w:val="clear" w:color="auto" w:fill="auto"/>
            <w:tcMar>
              <w:top w:w="0" w:type="dxa"/>
              <w:left w:w="20" w:type="dxa"/>
              <w:bottom w:w="0" w:type="dxa"/>
              <w:right w:w="20" w:type="dxa"/>
            </w:tcMar>
            <w:vAlign w:val="center"/>
          </w:tcPr>
          <w:p w14:paraId="1987B54B"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60.5</w:t>
            </w:r>
          </w:p>
        </w:tc>
      </w:tr>
      <w:tr w:rsidR="004447B8" w:rsidRPr="0053512A" w14:paraId="2E48E505" w14:textId="77777777" w:rsidTr="008F128D">
        <w:tc>
          <w:tcPr>
            <w:tcW w:w="381" w:type="pct"/>
            <w:shd w:val="clear" w:color="auto" w:fill="auto"/>
            <w:tcMar>
              <w:top w:w="0" w:type="dxa"/>
              <w:left w:w="20" w:type="dxa"/>
              <w:bottom w:w="0" w:type="dxa"/>
              <w:right w:w="20" w:type="dxa"/>
            </w:tcMar>
            <w:vAlign w:val="center"/>
          </w:tcPr>
          <w:p w14:paraId="471C1538"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3</w:t>
            </w:r>
          </w:p>
        </w:tc>
        <w:tc>
          <w:tcPr>
            <w:tcW w:w="1591" w:type="pct"/>
            <w:shd w:val="clear" w:color="auto" w:fill="auto"/>
            <w:tcMar>
              <w:top w:w="0" w:type="dxa"/>
              <w:left w:w="20" w:type="dxa"/>
              <w:bottom w:w="0" w:type="dxa"/>
              <w:right w:w="20" w:type="dxa"/>
            </w:tcMar>
            <w:vAlign w:val="center"/>
          </w:tcPr>
          <w:p w14:paraId="1B66DFC9"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Consumption revenue</w:t>
            </w:r>
          </w:p>
        </w:tc>
        <w:tc>
          <w:tcPr>
            <w:tcW w:w="753" w:type="pct"/>
            <w:shd w:val="clear" w:color="auto" w:fill="auto"/>
            <w:tcMar>
              <w:top w:w="0" w:type="dxa"/>
              <w:left w:w="20" w:type="dxa"/>
              <w:bottom w:w="0" w:type="dxa"/>
              <w:right w:w="20" w:type="dxa"/>
            </w:tcMar>
            <w:vAlign w:val="center"/>
          </w:tcPr>
          <w:p w14:paraId="54A3DEB6"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Billion VND</w:t>
            </w:r>
          </w:p>
        </w:tc>
        <w:tc>
          <w:tcPr>
            <w:tcW w:w="533" w:type="pct"/>
            <w:shd w:val="clear" w:color="auto" w:fill="auto"/>
            <w:tcMar>
              <w:top w:w="0" w:type="dxa"/>
              <w:left w:w="20" w:type="dxa"/>
              <w:bottom w:w="0" w:type="dxa"/>
              <w:right w:w="20" w:type="dxa"/>
            </w:tcMar>
            <w:vAlign w:val="center"/>
          </w:tcPr>
          <w:p w14:paraId="2DA3CAE7"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100</w:t>
            </w:r>
          </w:p>
        </w:tc>
        <w:tc>
          <w:tcPr>
            <w:tcW w:w="609" w:type="pct"/>
            <w:shd w:val="clear" w:color="auto" w:fill="auto"/>
            <w:tcMar>
              <w:top w:w="0" w:type="dxa"/>
              <w:left w:w="20" w:type="dxa"/>
              <w:bottom w:w="0" w:type="dxa"/>
              <w:right w:w="20" w:type="dxa"/>
            </w:tcMar>
            <w:vAlign w:val="center"/>
          </w:tcPr>
          <w:p w14:paraId="7FABD123"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109</w:t>
            </w:r>
          </w:p>
        </w:tc>
        <w:tc>
          <w:tcPr>
            <w:tcW w:w="525" w:type="pct"/>
            <w:shd w:val="clear" w:color="auto" w:fill="auto"/>
            <w:tcMar>
              <w:top w:w="0" w:type="dxa"/>
              <w:left w:w="20" w:type="dxa"/>
              <w:bottom w:w="0" w:type="dxa"/>
              <w:right w:w="20" w:type="dxa"/>
            </w:tcMar>
            <w:vAlign w:val="center"/>
          </w:tcPr>
          <w:p w14:paraId="7D832804"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109.9</w:t>
            </w:r>
          </w:p>
        </w:tc>
        <w:tc>
          <w:tcPr>
            <w:tcW w:w="609" w:type="pct"/>
            <w:shd w:val="clear" w:color="auto" w:fill="auto"/>
            <w:tcMar>
              <w:top w:w="0" w:type="dxa"/>
              <w:left w:w="20" w:type="dxa"/>
              <w:bottom w:w="0" w:type="dxa"/>
              <w:right w:w="20" w:type="dxa"/>
            </w:tcMar>
            <w:vAlign w:val="center"/>
          </w:tcPr>
          <w:p w14:paraId="2BA32ED8"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89.3</w:t>
            </w:r>
          </w:p>
        </w:tc>
      </w:tr>
      <w:tr w:rsidR="004447B8" w:rsidRPr="0053512A" w14:paraId="3072FD2E" w14:textId="77777777" w:rsidTr="008F128D">
        <w:tc>
          <w:tcPr>
            <w:tcW w:w="381" w:type="pct"/>
            <w:shd w:val="clear" w:color="auto" w:fill="auto"/>
            <w:tcMar>
              <w:top w:w="0" w:type="dxa"/>
              <w:left w:w="20" w:type="dxa"/>
              <w:bottom w:w="0" w:type="dxa"/>
              <w:right w:w="20" w:type="dxa"/>
            </w:tcMar>
            <w:vAlign w:val="center"/>
          </w:tcPr>
          <w:p w14:paraId="3D86AE68"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4</w:t>
            </w:r>
          </w:p>
        </w:tc>
        <w:tc>
          <w:tcPr>
            <w:tcW w:w="1591" w:type="pct"/>
            <w:shd w:val="clear" w:color="auto" w:fill="auto"/>
            <w:tcMar>
              <w:top w:w="0" w:type="dxa"/>
              <w:left w:w="20" w:type="dxa"/>
              <w:bottom w:w="0" w:type="dxa"/>
              <w:right w:w="20" w:type="dxa"/>
            </w:tcMar>
            <w:vAlign w:val="center"/>
          </w:tcPr>
          <w:p w14:paraId="72DDB175"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Proceeds</w:t>
            </w:r>
          </w:p>
        </w:tc>
        <w:tc>
          <w:tcPr>
            <w:tcW w:w="753" w:type="pct"/>
            <w:shd w:val="clear" w:color="auto" w:fill="auto"/>
            <w:tcMar>
              <w:top w:w="0" w:type="dxa"/>
              <w:left w:w="20" w:type="dxa"/>
              <w:bottom w:w="0" w:type="dxa"/>
              <w:right w:w="20" w:type="dxa"/>
            </w:tcMar>
            <w:vAlign w:val="center"/>
          </w:tcPr>
          <w:p w14:paraId="3DEDC200"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Billion VND</w:t>
            </w:r>
          </w:p>
        </w:tc>
        <w:tc>
          <w:tcPr>
            <w:tcW w:w="533" w:type="pct"/>
            <w:shd w:val="clear" w:color="auto" w:fill="auto"/>
            <w:tcMar>
              <w:top w:w="0" w:type="dxa"/>
              <w:left w:w="20" w:type="dxa"/>
              <w:bottom w:w="0" w:type="dxa"/>
              <w:right w:w="20" w:type="dxa"/>
            </w:tcMar>
            <w:vAlign w:val="center"/>
          </w:tcPr>
          <w:p w14:paraId="65385470"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108</w:t>
            </w:r>
          </w:p>
        </w:tc>
        <w:tc>
          <w:tcPr>
            <w:tcW w:w="609" w:type="pct"/>
            <w:shd w:val="clear" w:color="auto" w:fill="auto"/>
            <w:tcMar>
              <w:top w:w="0" w:type="dxa"/>
              <w:left w:w="20" w:type="dxa"/>
              <w:bottom w:w="0" w:type="dxa"/>
              <w:right w:w="20" w:type="dxa"/>
            </w:tcMar>
            <w:vAlign w:val="center"/>
          </w:tcPr>
          <w:p w14:paraId="3D0C2FBE"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112.6</w:t>
            </w:r>
          </w:p>
        </w:tc>
        <w:tc>
          <w:tcPr>
            <w:tcW w:w="525" w:type="pct"/>
            <w:shd w:val="clear" w:color="auto" w:fill="auto"/>
            <w:tcMar>
              <w:top w:w="0" w:type="dxa"/>
              <w:left w:w="20" w:type="dxa"/>
              <w:bottom w:w="0" w:type="dxa"/>
              <w:right w:w="20" w:type="dxa"/>
            </w:tcMar>
            <w:vAlign w:val="center"/>
          </w:tcPr>
          <w:p w14:paraId="17906ACF"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104.3</w:t>
            </w:r>
          </w:p>
        </w:tc>
        <w:tc>
          <w:tcPr>
            <w:tcW w:w="609" w:type="pct"/>
            <w:shd w:val="clear" w:color="auto" w:fill="auto"/>
            <w:tcMar>
              <w:top w:w="0" w:type="dxa"/>
              <w:left w:w="20" w:type="dxa"/>
              <w:bottom w:w="0" w:type="dxa"/>
              <w:right w:w="20" w:type="dxa"/>
            </w:tcMar>
            <w:vAlign w:val="center"/>
          </w:tcPr>
          <w:p w14:paraId="1A5E586D"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86.6</w:t>
            </w:r>
          </w:p>
        </w:tc>
      </w:tr>
      <w:tr w:rsidR="004447B8" w:rsidRPr="0053512A" w14:paraId="2902CBE3" w14:textId="77777777" w:rsidTr="008F128D">
        <w:tc>
          <w:tcPr>
            <w:tcW w:w="381" w:type="pct"/>
            <w:shd w:val="clear" w:color="auto" w:fill="auto"/>
            <w:tcMar>
              <w:top w:w="0" w:type="dxa"/>
              <w:left w:w="20" w:type="dxa"/>
              <w:bottom w:w="0" w:type="dxa"/>
              <w:right w:w="20" w:type="dxa"/>
            </w:tcMar>
            <w:vAlign w:val="center"/>
          </w:tcPr>
          <w:p w14:paraId="46678E4D"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lastRenderedPageBreak/>
              <w:t>5</w:t>
            </w:r>
          </w:p>
        </w:tc>
        <w:tc>
          <w:tcPr>
            <w:tcW w:w="1591" w:type="pct"/>
            <w:shd w:val="clear" w:color="auto" w:fill="auto"/>
            <w:tcMar>
              <w:top w:w="0" w:type="dxa"/>
              <w:left w:w="20" w:type="dxa"/>
              <w:bottom w:w="0" w:type="dxa"/>
              <w:right w:w="20" w:type="dxa"/>
            </w:tcMar>
            <w:vAlign w:val="center"/>
          </w:tcPr>
          <w:p w14:paraId="0DCAE97B"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Payable to State Budget:</w:t>
            </w:r>
          </w:p>
        </w:tc>
        <w:tc>
          <w:tcPr>
            <w:tcW w:w="753" w:type="pct"/>
            <w:shd w:val="clear" w:color="auto" w:fill="auto"/>
            <w:tcMar>
              <w:top w:w="0" w:type="dxa"/>
              <w:left w:w="20" w:type="dxa"/>
              <w:bottom w:w="0" w:type="dxa"/>
              <w:right w:w="20" w:type="dxa"/>
            </w:tcMar>
            <w:vAlign w:val="center"/>
          </w:tcPr>
          <w:p w14:paraId="3C6BCE6E"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Billion VND</w:t>
            </w:r>
          </w:p>
        </w:tc>
        <w:tc>
          <w:tcPr>
            <w:tcW w:w="533" w:type="pct"/>
            <w:vMerge w:val="restart"/>
            <w:shd w:val="clear" w:color="auto" w:fill="auto"/>
            <w:tcMar>
              <w:top w:w="0" w:type="dxa"/>
              <w:left w:w="20" w:type="dxa"/>
              <w:bottom w:w="0" w:type="dxa"/>
              <w:right w:w="20" w:type="dxa"/>
            </w:tcMar>
            <w:vAlign w:val="center"/>
          </w:tcPr>
          <w:p w14:paraId="0EDB1506"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Fully paid</w:t>
            </w:r>
          </w:p>
        </w:tc>
        <w:tc>
          <w:tcPr>
            <w:tcW w:w="609" w:type="pct"/>
            <w:shd w:val="clear" w:color="auto" w:fill="auto"/>
            <w:tcMar>
              <w:top w:w="0" w:type="dxa"/>
              <w:left w:w="20" w:type="dxa"/>
              <w:bottom w:w="0" w:type="dxa"/>
              <w:right w:w="20" w:type="dxa"/>
            </w:tcMar>
            <w:vAlign w:val="center"/>
          </w:tcPr>
          <w:p w14:paraId="05C25077"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9.4</w:t>
            </w:r>
          </w:p>
        </w:tc>
        <w:tc>
          <w:tcPr>
            <w:tcW w:w="525" w:type="pct"/>
            <w:shd w:val="clear" w:color="auto" w:fill="auto"/>
            <w:tcMar>
              <w:top w:w="0" w:type="dxa"/>
              <w:left w:w="20" w:type="dxa"/>
              <w:bottom w:w="0" w:type="dxa"/>
              <w:right w:w="20" w:type="dxa"/>
            </w:tcMar>
            <w:vAlign w:val="center"/>
          </w:tcPr>
          <w:p w14:paraId="0A958B13"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100</w:t>
            </w:r>
          </w:p>
        </w:tc>
        <w:tc>
          <w:tcPr>
            <w:tcW w:w="609" w:type="pct"/>
            <w:shd w:val="clear" w:color="auto" w:fill="auto"/>
            <w:tcMar>
              <w:top w:w="0" w:type="dxa"/>
              <w:left w:w="20" w:type="dxa"/>
              <w:bottom w:w="0" w:type="dxa"/>
              <w:right w:w="20" w:type="dxa"/>
            </w:tcMar>
            <w:vAlign w:val="center"/>
          </w:tcPr>
          <w:p w14:paraId="260500F7"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102.6</w:t>
            </w:r>
          </w:p>
        </w:tc>
      </w:tr>
      <w:tr w:rsidR="004447B8" w:rsidRPr="0053512A" w14:paraId="2C4FB7DE" w14:textId="77777777" w:rsidTr="008F128D">
        <w:tc>
          <w:tcPr>
            <w:tcW w:w="381" w:type="pct"/>
            <w:shd w:val="clear" w:color="auto" w:fill="auto"/>
            <w:tcMar>
              <w:top w:w="0" w:type="dxa"/>
              <w:left w:w="20" w:type="dxa"/>
              <w:bottom w:w="0" w:type="dxa"/>
              <w:right w:w="20" w:type="dxa"/>
            </w:tcMar>
            <w:vAlign w:val="center"/>
          </w:tcPr>
          <w:p w14:paraId="6B549A3B"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6</w:t>
            </w:r>
          </w:p>
        </w:tc>
        <w:tc>
          <w:tcPr>
            <w:tcW w:w="1591" w:type="pct"/>
            <w:shd w:val="clear" w:color="auto" w:fill="auto"/>
            <w:tcMar>
              <w:top w:w="0" w:type="dxa"/>
              <w:left w:w="20" w:type="dxa"/>
              <w:bottom w:w="0" w:type="dxa"/>
              <w:right w:w="20" w:type="dxa"/>
            </w:tcMar>
            <w:vAlign w:val="center"/>
          </w:tcPr>
          <w:p w14:paraId="27ADB050"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Pay for social insurance, health insurance, and unemployment insurance:</w:t>
            </w:r>
          </w:p>
        </w:tc>
        <w:tc>
          <w:tcPr>
            <w:tcW w:w="753" w:type="pct"/>
            <w:shd w:val="clear" w:color="auto" w:fill="auto"/>
            <w:tcMar>
              <w:top w:w="0" w:type="dxa"/>
              <w:left w:w="20" w:type="dxa"/>
              <w:bottom w:w="0" w:type="dxa"/>
              <w:right w:w="20" w:type="dxa"/>
            </w:tcMar>
            <w:vAlign w:val="center"/>
          </w:tcPr>
          <w:p w14:paraId="4D51AFAC"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Billion VND</w:t>
            </w:r>
          </w:p>
        </w:tc>
        <w:tc>
          <w:tcPr>
            <w:tcW w:w="533" w:type="pct"/>
            <w:vMerge/>
            <w:shd w:val="clear" w:color="auto" w:fill="auto"/>
            <w:tcMar>
              <w:top w:w="100" w:type="dxa"/>
              <w:left w:w="100" w:type="dxa"/>
              <w:bottom w:w="100" w:type="dxa"/>
              <w:right w:w="100" w:type="dxa"/>
            </w:tcMar>
            <w:vAlign w:val="center"/>
          </w:tcPr>
          <w:p w14:paraId="51CD45AE" w14:textId="77777777" w:rsidR="004447B8" w:rsidRPr="0053512A" w:rsidRDefault="004447B8" w:rsidP="00111126">
            <w:pPr>
              <w:tabs>
                <w:tab w:val="left" w:pos="432"/>
                <w:tab w:val="left" w:pos="1092"/>
              </w:tabs>
              <w:spacing w:after="120" w:line="360" w:lineRule="auto"/>
              <w:jc w:val="both"/>
              <w:rPr>
                <w:rFonts w:ascii="Arial" w:eastAsia="Arial" w:hAnsi="Arial" w:cs="Arial"/>
                <w:color w:val="010000"/>
                <w:sz w:val="20"/>
                <w:szCs w:val="20"/>
              </w:rPr>
            </w:pPr>
          </w:p>
        </w:tc>
        <w:tc>
          <w:tcPr>
            <w:tcW w:w="609" w:type="pct"/>
            <w:shd w:val="clear" w:color="auto" w:fill="auto"/>
            <w:tcMar>
              <w:top w:w="0" w:type="dxa"/>
              <w:left w:w="20" w:type="dxa"/>
              <w:bottom w:w="0" w:type="dxa"/>
              <w:right w:w="20" w:type="dxa"/>
            </w:tcMar>
            <w:vAlign w:val="center"/>
          </w:tcPr>
          <w:p w14:paraId="4AF70924"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4.2</w:t>
            </w:r>
          </w:p>
        </w:tc>
        <w:tc>
          <w:tcPr>
            <w:tcW w:w="525" w:type="pct"/>
            <w:shd w:val="clear" w:color="auto" w:fill="auto"/>
            <w:tcMar>
              <w:top w:w="0" w:type="dxa"/>
              <w:left w:w="20" w:type="dxa"/>
              <w:bottom w:w="0" w:type="dxa"/>
              <w:right w:w="20" w:type="dxa"/>
            </w:tcMar>
            <w:vAlign w:val="center"/>
          </w:tcPr>
          <w:p w14:paraId="02267742"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100</w:t>
            </w:r>
          </w:p>
        </w:tc>
        <w:tc>
          <w:tcPr>
            <w:tcW w:w="609" w:type="pct"/>
            <w:shd w:val="clear" w:color="auto" w:fill="auto"/>
            <w:tcMar>
              <w:top w:w="0" w:type="dxa"/>
              <w:left w:w="20" w:type="dxa"/>
              <w:bottom w:w="0" w:type="dxa"/>
              <w:right w:w="20" w:type="dxa"/>
            </w:tcMar>
            <w:vAlign w:val="center"/>
          </w:tcPr>
          <w:p w14:paraId="18B9D5E7"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95.7</w:t>
            </w:r>
          </w:p>
        </w:tc>
      </w:tr>
      <w:tr w:rsidR="004447B8" w:rsidRPr="0053512A" w14:paraId="446264C8" w14:textId="77777777" w:rsidTr="008F128D">
        <w:tc>
          <w:tcPr>
            <w:tcW w:w="381" w:type="pct"/>
            <w:shd w:val="clear" w:color="auto" w:fill="auto"/>
            <w:tcMar>
              <w:top w:w="0" w:type="dxa"/>
              <w:left w:w="20" w:type="dxa"/>
              <w:bottom w:w="0" w:type="dxa"/>
              <w:right w:w="20" w:type="dxa"/>
            </w:tcMar>
            <w:vAlign w:val="center"/>
          </w:tcPr>
          <w:p w14:paraId="094D8BEE"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7</w:t>
            </w:r>
          </w:p>
        </w:tc>
        <w:tc>
          <w:tcPr>
            <w:tcW w:w="1591" w:type="pct"/>
            <w:shd w:val="clear" w:color="auto" w:fill="auto"/>
            <w:tcMar>
              <w:top w:w="0" w:type="dxa"/>
              <w:left w:w="20" w:type="dxa"/>
              <w:bottom w:w="0" w:type="dxa"/>
              <w:right w:w="20" w:type="dxa"/>
            </w:tcMar>
            <w:vAlign w:val="center"/>
          </w:tcPr>
          <w:p w14:paraId="7EFDD97D"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Profit before tax</w:t>
            </w:r>
          </w:p>
        </w:tc>
        <w:tc>
          <w:tcPr>
            <w:tcW w:w="753" w:type="pct"/>
            <w:shd w:val="clear" w:color="auto" w:fill="auto"/>
            <w:tcMar>
              <w:top w:w="0" w:type="dxa"/>
              <w:left w:w="20" w:type="dxa"/>
              <w:bottom w:w="0" w:type="dxa"/>
              <w:right w:w="20" w:type="dxa"/>
            </w:tcMar>
            <w:vAlign w:val="center"/>
          </w:tcPr>
          <w:p w14:paraId="6B8D7ACE"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Billion VND</w:t>
            </w:r>
          </w:p>
        </w:tc>
        <w:tc>
          <w:tcPr>
            <w:tcW w:w="533" w:type="pct"/>
            <w:shd w:val="clear" w:color="auto" w:fill="auto"/>
            <w:tcMar>
              <w:top w:w="0" w:type="dxa"/>
              <w:left w:w="20" w:type="dxa"/>
              <w:bottom w:w="0" w:type="dxa"/>
              <w:right w:w="20" w:type="dxa"/>
            </w:tcMar>
            <w:vAlign w:val="center"/>
          </w:tcPr>
          <w:p w14:paraId="2DAD2E58"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18.53</w:t>
            </w:r>
          </w:p>
        </w:tc>
        <w:tc>
          <w:tcPr>
            <w:tcW w:w="609" w:type="pct"/>
            <w:shd w:val="clear" w:color="auto" w:fill="auto"/>
            <w:tcMar>
              <w:top w:w="0" w:type="dxa"/>
              <w:left w:w="20" w:type="dxa"/>
              <w:bottom w:w="0" w:type="dxa"/>
              <w:right w:w="20" w:type="dxa"/>
            </w:tcMar>
            <w:vAlign w:val="center"/>
          </w:tcPr>
          <w:p w14:paraId="67D7A309"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22.94</w:t>
            </w:r>
          </w:p>
        </w:tc>
        <w:tc>
          <w:tcPr>
            <w:tcW w:w="525" w:type="pct"/>
            <w:shd w:val="clear" w:color="auto" w:fill="auto"/>
            <w:tcMar>
              <w:top w:w="0" w:type="dxa"/>
              <w:left w:w="20" w:type="dxa"/>
              <w:bottom w:w="0" w:type="dxa"/>
              <w:right w:w="20" w:type="dxa"/>
            </w:tcMar>
            <w:vAlign w:val="center"/>
          </w:tcPr>
          <w:p w14:paraId="56966B88"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123.8</w:t>
            </w:r>
          </w:p>
        </w:tc>
        <w:tc>
          <w:tcPr>
            <w:tcW w:w="609" w:type="pct"/>
            <w:shd w:val="clear" w:color="auto" w:fill="auto"/>
            <w:tcMar>
              <w:top w:w="0" w:type="dxa"/>
              <w:left w:w="20" w:type="dxa"/>
              <w:bottom w:w="0" w:type="dxa"/>
              <w:right w:w="20" w:type="dxa"/>
            </w:tcMar>
            <w:vAlign w:val="center"/>
          </w:tcPr>
          <w:p w14:paraId="63A82362"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99.7</w:t>
            </w:r>
          </w:p>
        </w:tc>
      </w:tr>
      <w:tr w:rsidR="004447B8" w:rsidRPr="0053512A" w14:paraId="1482BF2F" w14:textId="77777777" w:rsidTr="008F128D">
        <w:tc>
          <w:tcPr>
            <w:tcW w:w="381" w:type="pct"/>
            <w:shd w:val="clear" w:color="auto" w:fill="auto"/>
            <w:tcMar>
              <w:top w:w="0" w:type="dxa"/>
              <w:left w:w="20" w:type="dxa"/>
              <w:bottom w:w="0" w:type="dxa"/>
              <w:right w:w="20" w:type="dxa"/>
            </w:tcMar>
            <w:vAlign w:val="center"/>
          </w:tcPr>
          <w:p w14:paraId="0DC12201"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8</w:t>
            </w:r>
          </w:p>
        </w:tc>
        <w:tc>
          <w:tcPr>
            <w:tcW w:w="1591" w:type="pct"/>
            <w:shd w:val="clear" w:color="auto" w:fill="auto"/>
            <w:tcMar>
              <w:top w:w="0" w:type="dxa"/>
              <w:left w:w="20" w:type="dxa"/>
              <w:bottom w:w="0" w:type="dxa"/>
              <w:right w:w="20" w:type="dxa"/>
            </w:tcMar>
            <w:vAlign w:val="center"/>
          </w:tcPr>
          <w:p w14:paraId="45422F91"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Average income</w:t>
            </w:r>
          </w:p>
        </w:tc>
        <w:tc>
          <w:tcPr>
            <w:tcW w:w="753" w:type="pct"/>
            <w:shd w:val="clear" w:color="auto" w:fill="auto"/>
            <w:tcMar>
              <w:top w:w="0" w:type="dxa"/>
              <w:left w:w="20" w:type="dxa"/>
              <w:bottom w:w="0" w:type="dxa"/>
              <w:right w:w="20" w:type="dxa"/>
            </w:tcMar>
            <w:vAlign w:val="center"/>
          </w:tcPr>
          <w:p w14:paraId="1727B827"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Million VND/person/month</w:t>
            </w:r>
          </w:p>
        </w:tc>
        <w:tc>
          <w:tcPr>
            <w:tcW w:w="533" w:type="pct"/>
            <w:shd w:val="clear" w:color="auto" w:fill="auto"/>
            <w:tcMar>
              <w:top w:w="0" w:type="dxa"/>
              <w:left w:w="20" w:type="dxa"/>
              <w:bottom w:w="0" w:type="dxa"/>
              <w:right w:w="20" w:type="dxa"/>
            </w:tcMar>
            <w:vAlign w:val="center"/>
          </w:tcPr>
          <w:p w14:paraId="69D067EA"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7.3</w:t>
            </w:r>
          </w:p>
        </w:tc>
        <w:tc>
          <w:tcPr>
            <w:tcW w:w="609" w:type="pct"/>
            <w:shd w:val="clear" w:color="auto" w:fill="auto"/>
            <w:tcMar>
              <w:top w:w="0" w:type="dxa"/>
              <w:left w:w="20" w:type="dxa"/>
              <w:bottom w:w="0" w:type="dxa"/>
              <w:right w:w="20" w:type="dxa"/>
            </w:tcMar>
            <w:vAlign w:val="center"/>
          </w:tcPr>
          <w:p w14:paraId="7B2F5B3D"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7.4</w:t>
            </w:r>
          </w:p>
        </w:tc>
        <w:tc>
          <w:tcPr>
            <w:tcW w:w="525" w:type="pct"/>
            <w:shd w:val="clear" w:color="auto" w:fill="auto"/>
            <w:tcMar>
              <w:top w:w="0" w:type="dxa"/>
              <w:left w:w="20" w:type="dxa"/>
              <w:bottom w:w="0" w:type="dxa"/>
              <w:right w:w="20" w:type="dxa"/>
            </w:tcMar>
            <w:vAlign w:val="center"/>
          </w:tcPr>
          <w:p w14:paraId="62CC2E31"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101.4</w:t>
            </w:r>
          </w:p>
        </w:tc>
        <w:tc>
          <w:tcPr>
            <w:tcW w:w="609" w:type="pct"/>
            <w:shd w:val="clear" w:color="auto" w:fill="auto"/>
            <w:tcMar>
              <w:top w:w="0" w:type="dxa"/>
              <w:left w:w="20" w:type="dxa"/>
              <w:bottom w:w="0" w:type="dxa"/>
              <w:right w:w="20" w:type="dxa"/>
            </w:tcMar>
            <w:vAlign w:val="center"/>
          </w:tcPr>
          <w:p w14:paraId="4E14F188" w14:textId="77777777" w:rsidR="004447B8" w:rsidRPr="0053512A" w:rsidRDefault="008F128D" w:rsidP="00111126">
            <w:pPr>
              <w:tabs>
                <w:tab w:val="left" w:pos="432"/>
                <w:tab w:val="left" w:pos="1092"/>
              </w:tabs>
              <w:spacing w:after="120" w:line="360" w:lineRule="auto"/>
              <w:jc w:val="both"/>
              <w:rPr>
                <w:rFonts w:ascii="Arial" w:eastAsia="Arial" w:hAnsi="Arial" w:cs="Arial"/>
                <w:color w:val="010000"/>
                <w:sz w:val="20"/>
                <w:szCs w:val="20"/>
              </w:rPr>
            </w:pPr>
            <w:r w:rsidRPr="0053512A">
              <w:rPr>
                <w:rFonts w:ascii="Arial" w:hAnsi="Arial" w:cs="Arial"/>
                <w:color w:val="010000"/>
                <w:sz w:val="20"/>
              </w:rPr>
              <w:t>91.1</w:t>
            </w:r>
          </w:p>
        </w:tc>
      </w:tr>
    </w:tbl>
    <w:p w14:paraId="76ED1A34" w14:textId="77777777" w:rsidR="004447B8" w:rsidRPr="0053512A" w:rsidRDefault="008F128D" w:rsidP="00111126">
      <w:pPr>
        <w:numPr>
          <w:ilvl w:val="0"/>
          <w:numId w:val="2"/>
        </w:numPr>
        <w:pBdr>
          <w:top w:val="nil"/>
          <w:left w:val="nil"/>
          <w:bottom w:val="nil"/>
          <w:right w:val="nil"/>
          <w:between w:val="nil"/>
        </w:pBdr>
        <w:tabs>
          <w:tab w:val="left" w:pos="432"/>
          <w:tab w:val="left" w:pos="1117"/>
        </w:tabs>
        <w:spacing w:after="120" w:line="360" w:lineRule="auto"/>
        <w:jc w:val="both"/>
        <w:rPr>
          <w:rFonts w:ascii="Arial" w:eastAsia="Arial" w:hAnsi="Arial" w:cs="Arial"/>
          <w:color w:val="010000"/>
          <w:sz w:val="20"/>
          <w:szCs w:val="20"/>
        </w:rPr>
      </w:pPr>
      <w:r w:rsidRPr="0053512A">
        <w:rPr>
          <w:rFonts w:ascii="Arial" w:hAnsi="Arial" w:cs="Arial"/>
          <w:color w:val="010000"/>
          <w:sz w:val="20"/>
        </w:rPr>
        <w:t>Approve the profit distribution Plan, dividend distribution, and dividend payment in 2023; profit distribution and dividend distribution Plan for 2024 as follows:</w:t>
      </w:r>
    </w:p>
    <w:p w14:paraId="01133C93" w14:textId="77777777" w:rsidR="004447B8" w:rsidRPr="0053512A" w:rsidRDefault="008F128D" w:rsidP="00111126">
      <w:pPr>
        <w:numPr>
          <w:ilvl w:val="0"/>
          <w:numId w:val="1"/>
        </w:numPr>
        <w:pBdr>
          <w:top w:val="nil"/>
          <w:left w:val="nil"/>
          <w:bottom w:val="nil"/>
          <w:right w:val="nil"/>
          <w:between w:val="nil"/>
        </w:pBdr>
        <w:tabs>
          <w:tab w:val="left" w:pos="432"/>
          <w:tab w:val="left" w:pos="1122"/>
        </w:tabs>
        <w:spacing w:after="120" w:line="360" w:lineRule="auto"/>
        <w:jc w:val="both"/>
        <w:rPr>
          <w:rFonts w:ascii="Arial" w:eastAsia="Arial" w:hAnsi="Arial" w:cs="Arial"/>
          <w:color w:val="010000"/>
          <w:sz w:val="20"/>
          <w:szCs w:val="20"/>
        </w:rPr>
      </w:pPr>
      <w:r w:rsidRPr="0053512A">
        <w:rPr>
          <w:rFonts w:ascii="Arial" w:hAnsi="Arial" w:cs="Arial"/>
          <w:color w:val="010000"/>
          <w:sz w:val="20"/>
        </w:rPr>
        <w:t>Profit distribution plan in 2023</w:t>
      </w:r>
    </w:p>
    <w:p w14:paraId="5A07744B" w14:textId="77777777" w:rsidR="004447B8" w:rsidRPr="0053512A" w:rsidRDefault="008F128D" w:rsidP="00111126">
      <w:pPr>
        <w:numPr>
          <w:ilvl w:val="0"/>
          <w:numId w:val="4"/>
        </w:numPr>
        <w:pBdr>
          <w:top w:val="nil"/>
          <w:left w:val="nil"/>
          <w:bottom w:val="nil"/>
          <w:right w:val="nil"/>
          <w:between w:val="nil"/>
        </w:pBdr>
        <w:tabs>
          <w:tab w:val="left" w:pos="432"/>
          <w:tab w:val="left" w:pos="1047"/>
        </w:tabs>
        <w:spacing w:after="120" w:line="360" w:lineRule="auto"/>
        <w:jc w:val="both"/>
        <w:rPr>
          <w:rFonts w:ascii="Arial" w:eastAsia="Arial" w:hAnsi="Arial" w:cs="Arial"/>
          <w:color w:val="010000"/>
          <w:sz w:val="20"/>
          <w:szCs w:val="20"/>
        </w:rPr>
      </w:pPr>
      <w:r w:rsidRPr="0053512A">
        <w:rPr>
          <w:rFonts w:ascii="Arial" w:hAnsi="Arial" w:cs="Arial"/>
          <w:color w:val="010000"/>
          <w:sz w:val="20"/>
        </w:rPr>
        <w:t>Profit after tax in 2023: VND 18,374,728,229.</w:t>
      </w:r>
    </w:p>
    <w:p w14:paraId="6B05577B" w14:textId="77777777" w:rsidR="004447B8" w:rsidRPr="0053512A" w:rsidRDefault="008F128D" w:rsidP="00111126">
      <w:pPr>
        <w:numPr>
          <w:ilvl w:val="0"/>
          <w:numId w:val="4"/>
        </w:numPr>
        <w:pBdr>
          <w:top w:val="nil"/>
          <w:left w:val="nil"/>
          <w:bottom w:val="nil"/>
          <w:right w:val="nil"/>
          <w:between w:val="nil"/>
        </w:pBdr>
        <w:tabs>
          <w:tab w:val="left" w:pos="432"/>
          <w:tab w:val="left" w:pos="1047"/>
        </w:tabs>
        <w:spacing w:after="120" w:line="360" w:lineRule="auto"/>
        <w:jc w:val="both"/>
        <w:rPr>
          <w:rFonts w:ascii="Arial" w:eastAsia="Arial" w:hAnsi="Arial" w:cs="Arial"/>
          <w:color w:val="010000"/>
          <w:sz w:val="20"/>
          <w:szCs w:val="20"/>
        </w:rPr>
      </w:pPr>
      <w:r w:rsidRPr="0053512A">
        <w:rPr>
          <w:rFonts w:ascii="Arial" w:hAnsi="Arial" w:cs="Arial"/>
          <w:color w:val="010000"/>
          <w:sz w:val="20"/>
        </w:rPr>
        <w:t>Undistributed profit in the previous year: VND 557,998,978.</w:t>
      </w:r>
    </w:p>
    <w:p w14:paraId="46FA071D" w14:textId="654FD1C8" w:rsidR="004447B8" w:rsidRPr="0053512A" w:rsidRDefault="008F128D" w:rsidP="00111126">
      <w:pPr>
        <w:numPr>
          <w:ilvl w:val="0"/>
          <w:numId w:val="4"/>
        </w:numPr>
        <w:pBdr>
          <w:top w:val="nil"/>
          <w:left w:val="nil"/>
          <w:bottom w:val="nil"/>
          <w:right w:val="nil"/>
          <w:between w:val="nil"/>
        </w:pBdr>
        <w:tabs>
          <w:tab w:val="left" w:pos="432"/>
          <w:tab w:val="left" w:pos="1047"/>
        </w:tabs>
        <w:spacing w:after="120" w:line="360" w:lineRule="auto"/>
        <w:jc w:val="both"/>
        <w:rPr>
          <w:rFonts w:ascii="Arial" w:eastAsia="Arial" w:hAnsi="Arial" w:cs="Arial"/>
          <w:color w:val="010000"/>
          <w:sz w:val="20"/>
          <w:szCs w:val="20"/>
        </w:rPr>
      </w:pPr>
      <w:r w:rsidRPr="0053512A">
        <w:rPr>
          <w:rFonts w:ascii="Arial" w:hAnsi="Arial" w:cs="Arial"/>
          <w:color w:val="010000"/>
          <w:sz w:val="20"/>
        </w:rPr>
        <w:t>Undistributed profit after tax accumulated as at December 31, 2023: VND 18,932,727,207.</w:t>
      </w:r>
    </w:p>
    <w:p w14:paraId="00EFC013" w14:textId="77777777" w:rsidR="004447B8" w:rsidRPr="0053512A" w:rsidRDefault="008F128D" w:rsidP="00111126">
      <w:pPr>
        <w:numPr>
          <w:ilvl w:val="0"/>
          <w:numId w:val="4"/>
        </w:numPr>
        <w:pBdr>
          <w:top w:val="nil"/>
          <w:left w:val="nil"/>
          <w:bottom w:val="nil"/>
          <w:right w:val="nil"/>
          <w:between w:val="nil"/>
        </w:pBdr>
        <w:tabs>
          <w:tab w:val="left" w:pos="432"/>
          <w:tab w:val="left" w:pos="1047"/>
        </w:tabs>
        <w:spacing w:after="120" w:line="360" w:lineRule="auto"/>
        <w:jc w:val="both"/>
        <w:rPr>
          <w:rFonts w:ascii="Arial" w:eastAsia="Arial" w:hAnsi="Arial" w:cs="Arial"/>
          <w:color w:val="010000"/>
          <w:sz w:val="20"/>
          <w:szCs w:val="20"/>
        </w:rPr>
      </w:pPr>
      <w:r w:rsidRPr="0053512A">
        <w:rPr>
          <w:rFonts w:ascii="Arial" w:hAnsi="Arial" w:cs="Arial"/>
          <w:color w:val="010000"/>
          <w:sz w:val="20"/>
        </w:rPr>
        <w:t>Distribute to funds according to the provisions of the current Charter (using from Profit after tax in 2023): VND 1,837,474,000.</w:t>
      </w:r>
    </w:p>
    <w:p w14:paraId="08A858E5" w14:textId="77777777" w:rsidR="004447B8" w:rsidRPr="0053512A" w:rsidRDefault="008F128D" w:rsidP="00111126">
      <w:pPr>
        <w:numPr>
          <w:ilvl w:val="0"/>
          <w:numId w:val="4"/>
        </w:numPr>
        <w:pBdr>
          <w:top w:val="nil"/>
          <w:left w:val="nil"/>
          <w:bottom w:val="nil"/>
          <w:right w:val="nil"/>
          <w:between w:val="nil"/>
        </w:pBdr>
        <w:tabs>
          <w:tab w:val="left" w:pos="432"/>
          <w:tab w:val="left" w:pos="1047"/>
        </w:tabs>
        <w:spacing w:after="120" w:line="360" w:lineRule="auto"/>
        <w:jc w:val="both"/>
        <w:rPr>
          <w:rFonts w:ascii="Arial" w:eastAsia="Arial" w:hAnsi="Arial" w:cs="Arial"/>
          <w:color w:val="010000"/>
          <w:sz w:val="20"/>
          <w:szCs w:val="20"/>
        </w:rPr>
      </w:pPr>
      <w:r w:rsidRPr="0053512A">
        <w:rPr>
          <w:rFonts w:ascii="Arial" w:hAnsi="Arial" w:cs="Arial"/>
          <w:color w:val="010000"/>
          <w:sz w:val="20"/>
        </w:rPr>
        <w:t>Remaining undistributed profit: VND 17,095,253,207.</w:t>
      </w:r>
    </w:p>
    <w:p w14:paraId="3D670150" w14:textId="77777777" w:rsidR="004447B8" w:rsidRPr="0053512A" w:rsidRDefault="008F128D" w:rsidP="00111126">
      <w:pPr>
        <w:numPr>
          <w:ilvl w:val="0"/>
          <w:numId w:val="4"/>
        </w:numPr>
        <w:pBdr>
          <w:top w:val="nil"/>
          <w:left w:val="nil"/>
          <w:bottom w:val="nil"/>
          <w:right w:val="nil"/>
          <w:between w:val="nil"/>
        </w:pBdr>
        <w:tabs>
          <w:tab w:val="left" w:pos="432"/>
          <w:tab w:val="left" w:pos="1047"/>
        </w:tabs>
        <w:spacing w:after="120" w:line="360" w:lineRule="auto"/>
        <w:jc w:val="both"/>
        <w:rPr>
          <w:rFonts w:ascii="Arial" w:eastAsia="Arial" w:hAnsi="Arial" w:cs="Arial"/>
          <w:color w:val="010000"/>
          <w:sz w:val="20"/>
          <w:szCs w:val="20"/>
        </w:rPr>
      </w:pPr>
      <w:r w:rsidRPr="0053512A">
        <w:rPr>
          <w:rFonts w:ascii="Arial" w:hAnsi="Arial" w:cs="Arial"/>
          <w:color w:val="010000"/>
          <w:sz w:val="20"/>
        </w:rPr>
        <w:t>Dividend payment in cash (45%/Charter capital) VND 11,169,125,000.</w:t>
      </w:r>
    </w:p>
    <w:p w14:paraId="33AA4147" w14:textId="77777777" w:rsidR="004447B8" w:rsidRPr="0053512A" w:rsidRDefault="008F128D" w:rsidP="00111126">
      <w:pPr>
        <w:numPr>
          <w:ilvl w:val="0"/>
          <w:numId w:val="4"/>
        </w:numPr>
        <w:pBdr>
          <w:top w:val="nil"/>
          <w:left w:val="nil"/>
          <w:bottom w:val="nil"/>
          <w:right w:val="nil"/>
          <w:between w:val="nil"/>
        </w:pBdr>
        <w:tabs>
          <w:tab w:val="left" w:pos="432"/>
          <w:tab w:val="left" w:pos="1047"/>
        </w:tabs>
        <w:spacing w:after="120" w:line="360" w:lineRule="auto"/>
        <w:jc w:val="both"/>
        <w:rPr>
          <w:rFonts w:ascii="Arial" w:eastAsia="Arial" w:hAnsi="Arial" w:cs="Arial"/>
          <w:color w:val="010000"/>
          <w:sz w:val="20"/>
          <w:szCs w:val="20"/>
        </w:rPr>
      </w:pPr>
      <w:r w:rsidRPr="0053512A">
        <w:rPr>
          <w:rFonts w:ascii="Arial" w:hAnsi="Arial" w:cs="Arial"/>
          <w:color w:val="010000"/>
          <w:sz w:val="20"/>
        </w:rPr>
        <w:t>Remaining undistributed profit: VND 5,926,128,207.</w:t>
      </w:r>
    </w:p>
    <w:p w14:paraId="25970F78" w14:textId="77777777" w:rsidR="004447B8" w:rsidRPr="0053512A" w:rsidRDefault="008F128D" w:rsidP="00111126">
      <w:pPr>
        <w:numPr>
          <w:ilvl w:val="0"/>
          <w:numId w:val="1"/>
        </w:numPr>
        <w:pBdr>
          <w:top w:val="nil"/>
          <w:left w:val="nil"/>
          <w:bottom w:val="nil"/>
          <w:right w:val="nil"/>
          <w:between w:val="nil"/>
        </w:pBdr>
        <w:tabs>
          <w:tab w:val="left" w:pos="432"/>
          <w:tab w:val="left" w:pos="1126"/>
        </w:tabs>
        <w:spacing w:after="120" w:line="360" w:lineRule="auto"/>
        <w:jc w:val="both"/>
        <w:rPr>
          <w:rFonts w:ascii="Arial" w:eastAsia="Arial" w:hAnsi="Arial" w:cs="Arial"/>
          <w:color w:val="010000"/>
          <w:sz w:val="20"/>
          <w:szCs w:val="20"/>
        </w:rPr>
      </w:pPr>
      <w:r w:rsidRPr="0053512A">
        <w:rPr>
          <w:rFonts w:ascii="Arial" w:hAnsi="Arial" w:cs="Arial"/>
          <w:color w:val="010000"/>
          <w:sz w:val="20"/>
        </w:rPr>
        <w:t>The Plan on dividend payment in 2023:</w:t>
      </w:r>
    </w:p>
    <w:p w14:paraId="2F393DCB" w14:textId="77777777" w:rsidR="004447B8" w:rsidRPr="0053512A" w:rsidRDefault="008F128D" w:rsidP="00111126">
      <w:pPr>
        <w:numPr>
          <w:ilvl w:val="0"/>
          <w:numId w:val="4"/>
        </w:numPr>
        <w:pBdr>
          <w:top w:val="nil"/>
          <w:left w:val="nil"/>
          <w:bottom w:val="nil"/>
          <w:right w:val="nil"/>
          <w:between w:val="nil"/>
        </w:pBdr>
        <w:tabs>
          <w:tab w:val="left" w:pos="432"/>
          <w:tab w:val="left" w:pos="1047"/>
        </w:tabs>
        <w:spacing w:after="120" w:line="360" w:lineRule="auto"/>
        <w:jc w:val="both"/>
        <w:rPr>
          <w:rFonts w:ascii="Arial" w:eastAsia="Arial" w:hAnsi="Arial" w:cs="Arial"/>
          <w:color w:val="010000"/>
          <w:sz w:val="20"/>
          <w:szCs w:val="20"/>
        </w:rPr>
      </w:pPr>
      <w:r w:rsidRPr="0053512A">
        <w:rPr>
          <w:rFonts w:ascii="Arial" w:hAnsi="Arial" w:cs="Arial"/>
          <w:color w:val="010000"/>
          <w:sz w:val="20"/>
        </w:rPr>
        <w:t>Dividend payment method: In cash</w:t>
      </w:r>
    </w:p>
    <w:p w14:paraId="42046E5C" w14:textId="183AC759" w:rsidR="004447B8" w:rsidRPr="0053512A" w:rsidRDefault="008F128D" w:rsidP="00111126">
      <w:pPr>
        <w:numPr>
          <w:ilvl w:val="0"/>
          <w:numId w:val="4"/>
        </w:numPr>
        <w:pBdr>
          <w:top w:val="nil"/>
          <w:left w:val="nil"/>
          <w:bottom w:val="nil"/>
          <w:right w:val="nil"/>
          <w:between w:val="nil"/>
        </w:pBdr>
        <w:tabs>
          <w:tab w:val="left" w:pos="432"/>
          <w:tab w:val="left" w:pos="1047"/>
        </w:tabs>
        <w:spacing w:after="120" w:line="360" w:lineRule="auto"/>
        <w:jc w:val="both"/>
        <w:rPr>
          <w:rFonts w:ascii="Arial" w:eastAsia="Arial" w:hAnsi="Arial" w:cs="Arial"/>
          <w:color w:val="010000"/>
          <w:sz w:val="20"/>
          <w:szCs w:val="20"/>
        </w:rPr>
      </w:pPr>
      <w:r w:rsidRPr="0053512A">
        <w:rPr>
          <w:rFonts w:ascii="Arial" w:hAnsi="Arial" w:cs="Arial"/>
          <w:color w:val="010000"/>
          <w:sz w:val="20"/>
        </w:rPr>
        <w:t>Dividend payment rate: 10% of the total par value of shares held on the</w:t>
      </w:r>
      <w:r w:rsidR="00211CE7" w:rsidRPr="0053512A">
        <w:rPr>
          <w:rFonts w:ascii="Arial" w:hAnsi="Arial" w:cs="Arial"/>
          <w:color w:val="010000"/>
          <w:sz w:val="20"/>
        </w:rPr>
        <w:t xml:space="preserve"> </w:t>
      </w:r>
      <w:r w:rsidRPr="0053512A">
        <w:rPr>
          <w:rFonts w:ascii="Arial" w:hAnsi="Arial" w:cs="Arial"/>
          <w:color w:val="010000"/>
          <w:sz w:val="20"/>
        </w:rPr>
        <w:t>record date for the list of shareh</w:t>
      </w:r>
      <w:r w:rsidR="00111126">
        <w:rPr>
          <w:rFonts w:ascii="Arial" w:hAnsi="Arial" w:cs="Arial"/>
          <w:color w:val="010000"/>
          <w:sz w:val="20"/>
        </w:rPr>
        <w:t>olders to make dividend payment</w:t>
      </w:r>
      <w:r w:rsidRPr="0053512A">
        <w:rPr>
          <w:rFonts w:ascii="Arial" w:hAnsi="Arial" w:cs="Arial"/>
          <w:color w:val="010000"/>
          <w:sz w:val="20"/>
        </w:rPr>
        <w:t>.</w:t>
      </w:r>
    </w:p>
    <w:p w14:paraId="3F0AA28D" w14:textId="77777777" w:rsidR="004447B8" w:rsidRPr="0053512A" w:rsidRDefault="008F128D" w:rsidP="00111126">
      <w:pPr>
        <w:numPr>
          <w:ilvl w:val="0"/>
          <w:numId w:val="4"/>
        </w:numPr>
        <w:pBdr>
          <w:top w:val="nil"/>
          <w:left w:val="nil"/>
          <w:bottom w:val="nil"/>
          <w:right w:val="nil"/>
          <w:between w:val="nil"/>
        </w:pBdr>
        <w:tabs>
          <w:tab w:val="left" w:pos="432"/>
          <w:tab w:val="left" w:pos="1047"/>
        </w:tabs>
        <w:spacing w:after="120" w:line="360" w:lineRule="auto"/>
        <w:jc w:val="both"/>
        <w:rPr>
          <w:rFonts w:ascii="Arial" w:eastAsia="Arial" w:hAnsi="Arial" w:cs="Arial"/>
          <w:color w:val="010000"/>
          <w:sz w:val="20"/>
          <w:szCs w:val="20"/>
        </w:rPr>
      </w:pPr>
      <w:r w:rsidRPr="0053512A">
        <w:rPr>
          <w:rFonts w:ascii="Arial" w:hAnsi="Arial" w:cs="Arial"/>
          <w:color w:val="010000"/>
          <w:sz w:val="20"/>
        </w:rPr>
        <w:t>Dividend payment time: Expected in Q2/2024</w:t>
      </w:r>
    </w:p>
    <w:p w14:paraId="160AE0FA" w14:textId="77777777" w:rsidR="004447B8" w:rsidRPr="0053512A" w:rsidRDefault="008F128D" w:rsidP="00111126">
      <w:pPr>
        <w:numPr>
          <w:ilvl w:val="0"/>
          <w:numId w:val="4"/>
        </w:numPr>
        <w:pBdr>
          <w:top w:val="nil"/>
          <w:left w:val="nil"/>
          <w:bottom w:val="nil"/>
          <w:right w:val="nil"/>
          <w:between w:val="nil"/>
        </w:pBdr>
        <w:tabs>
          <w:tab w:val="left" w:pos="432"/>
          <w:tab w:val="left" w:pos="1047"/>
        </w:tabs>
        <w:spacing w:after="120" w:line="360" w:lineRule="auto"/>
        <w:jc w:val="both"/>
        <w:rPr>
          <w:rFonts w:ascii="Arial" w:eastAsia="Arial" w:hAnsi="Arial" w:cs="Arial"/>
          <w:color w:val="010000"/>
          <w:sz w:val="20"/>
          <w:szCs w:val="20"/>
        </w:rPr>
      </w:pPr>
      <w:r w:rsidRPr="0053512A">
        <w:rPr>
          <w:rFonts w:ascii="Arial" w:hAnsi="Arial" w:cs="Arial"/>
          <w:color w:val="010000"/>
          <w:sz w:val="20"/>
        </w:rPr>
        <w:t>Dividend payment rate in 2023: Accumulated profit after tax until December 31, 2024 of the Company:</w:t>
      </w:r>
    </w:p>
    <w:p w14:paraId="3A65A3EC" w14:textId="77777777" w:rsidR="004447B8" w:rsidRPr="0053512A" w:rsidRDefault="008F128D" w:rsidP="00111126">
      <w:pPr>
        <w:numPr>
          <w:ilvl w:val="0"/>
          <w:numId w:val="4"/>
        </w:numPr>
        <w:pBdr>
          <w:top w:val="nil"/>
          <w:left w:val="nil"/>
          <w:bottom w:val="nil"/>
          <w:right w:val="nil"/>
          <w:between w:val="nil"/>
        </w:pBdr>
        <w:tabs>
          <w:tab w:val="left" w:pos="432"/>
          <w:tab w:val="left" w:pos="1047"/>
        </w:tabs>
        <w:spacing w:after="120" w:line="360" w:lineRule="auto"/>
        <w:jc w:val="both"/>
        <w:rPr>
          <w:rFonts w:ascii="Arial" w:eastAsia="Arial" w:hAnsi="Arial" w:cs="Arial"/>
          <w:color w:val="010000"/>
          <w:sz w:val="20"/>
          <w:szCs w:val="20"/>
        </w:rPr>
      </w:pPr>
      <w:r w:rsidRPr="0053512A">
        <w:rPr>
          <w:rFonts w:ascii="Arial" w:hAnsi="Arial" w:cs="Arial"/>
          <w:color w:val="010000"/>
          <w:sz w:val="20"/>
        </w:rPr>
        <w:t>Venue to receive dividends:</w:t>
      </w:r>
    </w:p>
    <w:p w14:paraId="684E6B0D" w14:textId="77777777" w:rsidR="004447B8" w:rsidRPr="0053512A" w:rsidRDefault="008F128D" w:rsidP="001111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12A">
        <w:rPr>
          <w:rFonts w:ascii="Arial" w:hAnsi="Arial" w:cs="Arial"/>
          <w:color w:val="010000"/>
          <w:sz w:val="20"/>
        </w:rPr>
        <w:t>For deposited securities: Owners implement the procedures to receive dividends at Depository Members where the deposited accounts were opened.</w:t>
      </w:r>
    </w:p>
    <w:p w14:paraId="236DB528" w14:textId="1D2D3758" w:rsidR="004447B8" w:rsidRPr="0053512A" w:rsidRDefault="008F128D" w:rsidP="001111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12A">
        <w:rPr>
          <w:rFonts w:ascii="Arial" w:hAnsi="Arial" w:cs="Arial"/>
          <w:color w:val="010000"/>
          <w:sz w:val="20"/>
        </w:rPr>
        <w:t xml:space="preserve">For undeposited securities: Owner implement the procedures to receive dividends at the Head Office of the Company - No.93, Le </w:t>
      </w:r>
      <w:proofErr w:type="spellStart"/>
      <w:r w:rsidRPr="0053512A">
        <w:rPr>
          <w:rFonts w:ascii="Arial" w:hAnsi="Arial" w:cs="Arial"/>
          <w:color w:val="010000"/>
          <w:sz w:val="20"/>
        </w:rPr>
        <w:t>Loi</w:t>
      </w:r>
      <w:proofErr w:type="spellEnd"/>
      <w:r w:rsidRPr="0053512A">
        <w:rPr>
          <w:rFonts w:ascii="Arial" w:hAnsi="Arial" w:cs="Arial"/>
          <w:color w:val="010000"/>
          <w:sz w:val="20"/>
        </w:rPr>
        <w:t xml:space="preserve"> Street, Yen </w:t>
      </w:r>
      <w:proofErr w:type="spellStart"/>
      <w:r w:rsidRPr="0053512A">
        <w:rPr>
          <w:rFonts w:ascii="Arial" w:hAnsi="Arial" w:cs="Arial"/>
          <w:color w:val="010000"/>
          <w:sz w:val="20"/>
        </w:rPr>
        <w:t>Ninh</w:t>
      </w:r>
      <w:proofErr w:type="spellEnd"/>
      <w:r w:rsidRPr="0053512A">
        <w:rPr>
          <w:rFonts w:ascii="Arial" w:hAnsi="Arial" w:cs="Arial"/>
          <w:color w:val="010000"/>
          <w:sz w:val="20"/>
        </w:rPr>
        <w:t xml:space="preserve"> Ward, Yen Bai City, Yen Bai Province (on working days of the week from Monday to Friday) and present Citizen Identification Card or Identity Card.</w:t>
      </w:r>
    </w:p>
    <w:p w14:paraId="42CB746E" w14:textId="77777777" w:rsidR="004447B8" w:rsidRPr="0053512A" w:rsidRDefault="008F128D" w:rsidP="001111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12A">
        <w:rPr>
          <w:rFonts w:ascii="Arial" w:hAnsi="Arial" w:cs="Arial"/>
          <w:color w:val="010000"/>
          <w:sz w:val="20"/>
        </w:rPr>
        <w:t xml:space="preserve">The Meeting approves authorizing the Board of Directors of the Company to decide on the record date </w:t>
      </w:r>
      <w:r w:rsidRPr="0053512A">
        <w:rPr>
          <w:rFonts w:ascii="Arial" w:hAnsi="Arial" w:cs="Arial"/>
          <w:color w:val="010000"/>
          <w:sz w:val="20"/>
        </w:rPr>
        <w:lastRenderedPageBreak/>
        <w:t xml:space="preserve">for the list of shareholders to exercise the right to receive dividends and implement procedures for relevant agencies. </w:t>
      </w:r>
    </w:p>
    <w:p w14:paraId="123E82F2" w14:textId="77777777" w:rsidR="004447B8" w:rsidRPr="0053512A" w:rsidRDefault="008F128D" w:rsidP="00111126">
      <w:pPr>
        <w:numPr>
          <w:ilvl w:val="0"/>
          <w:numId w:val="1"/>
        </w:numPr>
        <w:pBdr>
          <w:top w:val="nil"/>
          <w:left w:val="nil"/>
          <w:bottom w:val="nil"/>
          <w:right w:val="nil"/>
          <w:between w:val="nil"/>
        </w:pBdr>
        <w:tabs>
          <w:tab w:val="left" w:pos="432"/>
          <w:tab w:val="left" w:pos="1102"/>
        </w:tabs>
        <w:spacing w:after="120" w:line="360" w:lineRule="auto"/>
        <w:jc w:val="both"/>
        <w:rPr>
          <w:rFonts w:ascii="Arial" w:eastAsia="Arial" w:hAnsi="Arial" w:cs="Arial"/>
          <w:color w:val="010000"/>
          <w:sz w:val="20"/>
          <w:szCs w:val="20"/>
        </w:rPr>
      </w:pPr>
      <w:r w:rsidRPr="0053512A">
        <w:rPr>
          <w:rFonts w:ascii="Arial" w:hAnsi="Arial" w:cs="Arial"/>
          <w:color w:val="010000"/>
          <w:sz w:val="20"/>
        </w:rPr>
        <w:t>Profit distribution plan for 2024</w:t>
      </w:r>
    </w:p>
    <w:p w14:paraId="03322F5F" w14:textId="230F9683" w:rsidR="004447B8" w:rsidRPr="0053512A" w:rsidRDefault="008F128D" w:rsidP="00111126">
      <w:pPr>
        <w:numPr>
          <w:ilvl w:val="0"/>
          <w:numId w:val="4"/>
        </w:numPr>
        <w:pBdr>
          <w:top w:val="nil"/>
          <w:left w:val="nil"/>
          <w:bottom w:val="nil"/>
          <w:right w:val="nil"/>
          <w:between w:val="nil"/>
        </w:pBdr>
        <w:tabs>
          <w:tab w:val="left" w:pos="432"/>
          <w:tab w:val="left" w:pos="1038"/>
        </w:tabs>
        <w:spacing w:after="120" w:line="360" w:lineRule="auto"/>
        <w:jc w:val="both"/>
        <w:rPr>
          <w:rFonts w:ascii="Arial" w:eastAsia="Arial" w:hAnsi="Arial" w:cs="Arial"/>
          <w:color w:val="010000"/>
          <w:sz w:val="20"/>
          <w:szCs w:val="20"/>
        </w:rPr>
      </w:pPr>
      <w:r w:rsidRPr="0053512A">
        <w:rPr>
          <w:rFonts w:ascii="Arial" w:hAnsi="Arial" w:cs="Arial"/>
          <w:color w:val="010000"/>
          <w:sz w:val="20"/>
        </w:rPr>
        <w:t xml:space="preserve">Appropriation for investment and development fund, bonus fund, welfare fund, bonus for the Management Board and Executive Board. </w:t>
      </w:r>
    </w:p>
    <w:p w14:paraId="374FFE7E" w14:textId="77777777" w:rsidR="004447B8" w:rsidRPr="0053512A" w:rsidRDefault="008F128D" w:rsidP="00111126">
      <w:pPr>
        <w:numPr>
          <w:ilvl w:val="0"/>
          <w:numId w:val="4"/>
        </w:numPr>
        <w:pBdr>
          <w:top w:val="nil"/>
          <w:left w:val="nil"/>
          <w:bottom w:val="nil"/>
          <w:right w:val="nil"/>
          <w:between w:val="nil"/>
        </w:pBdr>
        <w:tabs>
          <w:tab w:val="left" w:pos="432"/>
          <w:tab w:val="left" w:pos="1038"/>
        </w:tabs>
        <w:spacing w:after="120" w:line="360" w:lineRule="auto"/>
        <w:jc w:val="both"/>
        <w:rPr>
          <w:rFonts w:ascii="Arial" w:eastAsia="Arial" w:hAnsi="Arial" w:cs="Arial"/>
          <w:color w:val="010000"/>
          <w:sz w:val="20"/>
          <w:szCs w:val="20"/>
        </w:rPr>
      </w:pPr>
      <w:r w:rsidRPr="0053512A">
        <w:rPr>
          <w:rFonts w:ascii="Arial" w:hAnsi="Arial" w:cs="Arial"/>
          <w:color w:val="010000"/>
          <w:sz w:val="20"/>
        </w:rPr>
        <w:t>Company: In accordance with the provisions of the Company’s Charter.</w:t>
      </w:r>
    </w:p>
    <w:p w14:paraId="12E2FD59" w14:textId="392CD965" w:rsidR="004447B8" w:rsidRPr="0053512A" w:rsidRDefault="008F128D" w:rsidP="00111126">
      <w:pPr>
        <w:numPr>
          <w:ilvl w:val="0"/>
          <w:numId w:val="4"/>
        </w:numPr>
        <w:pBdr>
          <w:top w:val="nil"/>
          <w:left w:val="nil"/>
          <w:bottom w:val="nil"/>
          <w:right w:val="nil"/>
          <w:between w:val="nil"/>
        </w:pBdr>
        <w:tabs>
          <w:tab w:val="left" w:pos="432"/>
          <w:tab w:val="left" w:pos="1038"/>
        </w:tabs>
        <w:spacing w:after="120" w:line="360" w:lineRule="auto"/>
        <w:jc w:val="both"/>
        <w:rPr>
          <w:rFonts w:ascii="Arial" w:eastAsia="Arial" w:hAnsi="Arial" w:cs="Arial"/>
          <w:color w:val="010000"/>
          <w:sz w:val="20"/>
          <w:szCs w:val="20"/>
        </w:rPr>
      </w:pPr>
      <w:r w:rsidRPr="0053512A">
        <w:rPr>
          <w:rFonts w:ascii="Arial" w:hAnsi="Arial" w:cs="Arial"/>
          <w:color w:val="010000"/>
          <w:sz w:val="20"/>
        </w:rPr>
        <w:t>Dividend payment rate: 10% or more x charter capital. Cash payment form.</w:t>
      </w:r>
    </w:p>
    <w:p w14:paraId="291DF415" w14:textId="4F75595D" w:rsidR="004447B8" w:rsidRPr="0053512A" w:rsidRDefault="008F128D" w:rsidP="00111126">
      <w:pPr>
        <w:numPr>
          <w:ilvl w:val="0"/>
          <w:numId w:val="2"/>
        </w:numPr>
        <w:pBdr>
          <w:top w:val="nil"/>
          <w:left w:val="nil"/>
          <w:bottom w:val="nil"/>
          <w:right w:val="nil"/>
          <w:between w:val="nil"/>
        </w:pBdr>
        <w:tabs>
          <w:tab w:val="left" w:pos="432"/>
          <w:tab w:val="left" w:pos="1112"/>
        </w:tabs>
        <w:spacing w:after="120" w:line="360" w:lineRule="auto"/>
        <w:jc w:val="both"/>
        <w:rPr>
          <w:rFonts w:ascii="Arial" w:eastAsia="Arial" w:hAnsi="Arial" w:cs="Arial"/>
          <w:color w:val="010000"/>
          <w:sz w:val="20"/>
          <w:szCs w:val="20"/>
        </w:rPr>
      </w:pPr>
      <w:r w:rsidRPr="0053512A">
        <w:rPr>
          <w:rFonts w:ascii="Arial" w:hAnsi="Arial" w:cs="Arial"/>
          <w:color w:val="010000"/>
          <w:sz w:val="20"/>
        </w:rPr>
        <w:t xml:space="preserve">Approve the standards for selecting an independent auditing organization to audit the Financial Statements 2024, authorize the Supervisory Board to decide on the selection of an auditing organization, and authorize the </w:t>
      </w:r>
      <w:r w:rsidR="00111126">
        <w:rPr>
          <w:rFonts w:ascii="Arial" w:hAnsi="Arial" w:cs="Arial"/>
          <w:color w:val="010000"/>
          <w:sz w:val="20"/>
        </w:rPr>
        <w:t>Managing Director</w:t>
      </w:r>
      <w:r w:rsidRPr="0053512A">
        <w:rPr>
          <w:rFonts w:ascii="Arial" w:hAnsi="Arial" w:cs="Arial"/>
          <w:color w:val="010000"/>
          <w:sz w:val="20"/>
        </w:rPr>
        <w:t xml:space="preserve"> of the Company to sign an auditing services provision contract with the auditing company selected by the Supervisory Board to audit the Financial Statements 2024 </w:t>
      </w:r>
      <w:r w:rsidR="00111126">
        <w:rPr>
          <w:rFonts w:ascii="Arial" w:hAnsi="Arial" w:cs="Arial"/>
          <w:color w:val="010000"/>
          <w:sz w:val="20"/>
        </w:rPr>
        <w:t>under applicable laws</w:t>
      </w:r>
      <w:r w:rsidRPr="0053512A">
        <w:rPr>
          <w:rFonts w:ascii="Arial" w:hAnsi="Arial" w:cs="Arial"/>
          <w:color w:val="010000"/>
          <w:sz w:val="20"/>
        </w:rPr>
        <w:t>.</w:t>
      </w:r>
    </w:p>
    <w:p w14:paraId="7D299EAB" w14:textId="0DB7466A" w:rsidR="004447B8" w:rsidRPr="0053512A" w:rsidRDefault="008F128D" w:rsidP="001111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12A">
        <w:rPr>
          <w:rFonts w:ascii="Arial" w:hAnsi="Arial" w:cs="Arial"/>
          <w:color w:val="010000"/>
          <w:sz w:val="20"/>
        </w:rPr>
        <w:t xml:space="preserve">‎‎Article 2. The Board of Directors of the Company is responsible for </w:t>
      </w:r>
      <w:r w:rsidR="00111126">
        <w:rPr>
          <w:rFonts w:ascii="Arial" w:hAnsi="Arial" w:cs="Arial"/>
          <w:color w:val="010000"/>
          <w:sz w:val="20"/>
        </w:rPr>
        <w:t>directing</w:t>
      </w:r>
      <w:r w:rsidRPr="0053512A">
        <w:rPr>
          <w:rFonts w:ascii="Arial" w:hAnsi="Arial" w:cs="Arial"/>
          <w:color w:val="010000"/>
          <w:sz w:val="20"/>
        </w:rPr>
        <w:t xml:space="preserve"> the implementation of the Resolution, the Supervisory Board is responsible for supervising the implementation of the Resolution approved by the Annual General Meeting 2024.</w:t>
      </w:r>
    </w:p>
    <w:p w14:paraId="40B90C8B" w14:textId="3C08C262" w:rsidR="004447B8" w:rsidRPr="0053512A" w:rsidRDefault="008F128D" w:rsidP="001111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12A">
        <w:rPr>
          <w:rFonts w:ascii="Arial" w:hAnsi="Arial" w:cs="Arial"/>
          <w:color w:val="010000"/>
          <w:sz w:val="20"/>
        </w:rPr>
        <w:t>‎‎Article</w:t>
      </w:r>
      <w:r w:rsidR="00111126">
        <w:rPr>
          <w:rFonts w:ascii="Arial" w:hAnsi="Arial" w:cs="Arial"/>
          <w:color w:val="010000"/>
          <w:sz w:val="20"/>
        </w:rPr>
        <w:t xml:space="preserve"> 3. The Board of Directors, </w:t>
      </w:r>
      <w:r w:rsidRPr="0053512A">
        <w:rPr>
          <w:rFonts w:ascii="Arial" w:hAnsi="Arial" w:cs="Arial"/>
          <w:color w:val="010000"/>
          <w:sz w:val="20"/>
        </w:rPr>
        <w:t xml:space="preserve">Supervisory Board, </w:t>
      </w:r>
      <w:r w:rsidR="00111126">
        <w:rPr>
          <w:rFonts w:ascii="Arial" w:hAnsi="Arial" w:cs="Arial"/>
          <w:color w:val="010000"/>
          <w:sz w:val="20"/>
        </w:rPr>
        <w:t xml:space="preserve">Executive Board, </w:t>
      </w:r>
      <w:r w:rsidR="00F17E71">
        <w:rPr>
          <w:rFonts w:ascii="Arial" w:hAnsi="Arial" w:cs="Arial"/>
          <w:color w:val="010000"/>
          <w:sz w:val="20"/>
        </w:rPr>
        <w:t>competent authorities</w:t>
      </w:r>
      <w:bookmarkStart w:id="1" w:name="_GoBack"/>
      <w:bookmarkEnd w:id="1"/>
      <w:r w:rsidRPr="0053512A">
        <w:rPr>
          <w:rFonts w:ascii="Arial" w:hAnsi="Arial" w:cs="Arial"/>
          <w:color w:val="010000"/>
          <w:sz w:val="20"/>
        </w:rPr>
        <w:t xml:space="preserve"> and shareholders of the Company are responsible for implementing this General Mandate. </w:t>
      </w:r>
    </w:p>
    <w:p w14:paraId="1623053E" w14:textId="77777777" w:rsidR="004447B8" w:rsidRPr="008F128D" w:rsidRDefault="008F128D" w:rsidP="0011112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3512A">
        <w:rPr>
          <w:rFonts w:ascii="Arial" w:hAnsi="Arial" w:cs="Arial"/>
          <w:color w:val="010000"/>
          <w:sz w:val="20"/>
        </w:rPr>
        <w:t>This General Mandate takes effect on the date of its signing.</w:t>
      </w:r>
    </w:p>
    <w:sectPr w:rsidR="004447B8" w:rsidRPr="008F128D" w:rsidSect="008F128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38FF"/>
    <w:multiLevelType w:val="multilevel"/>
    <w:tmpl w:val="7A080066"/>
    <w:lvl w:ilvl="0">
      <w:start w:val="1"/>
      <w:numFmt w:val="decimal"/>
      <w:lvlText w:val="%1."/>
      <w:lvlJc w:val="left"/>
      <w:pPr>
        <w:ind w:left="0" w:firstLine="0"/>
      </w:pPr>
      <w:rPr>
        <w:rFonts w:ascii="Arial" w:eastAsia="Arial" w:hAnsi="Arial" w:cs="Arial"/>
        <w:b w:val="0"/>
        <w:i w:val="0"/>
        <w:smallCaps w:val="0"/>
        <w:strike w:val="0"/>
        <w:color w:val="47545C"/>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5B65D14"/>
    <w:multiLevelType w:val="multilevel"/>
    <w:tmpl w:val="330007DC"/>
    <w:lvl w:ilvl="0">
      <w:start w:val="1"/>
      <w:numFmt w:val="lowerLetter"/>
      <w:lvlText w:val="%1)"/>
      <w:lvlJc w:val="left"/>
      <w:pPr>
        <w:ind w:left="0" w:firstLine="0"/>
      </w:pPr>
      <w:rPr>
        <w:rFonts w:ascii="Arial" w:eastAsia="Arial" w:hAnsi="Arial" w:cs="Arial"/>
        <w:b w:val="0"/>
        <w:i w:val="0"/>
        <w:smallCaps w:val="0"/>
        <w:strike w:val="0"/>
        <w:color w:val="47545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38F732E"/>
    <w:multiLevelType w:val="multilevel"/>
    <w:tmpl w:val="F97CA94C"/>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F083948"/>
    <w:multiLevelType w:val="multilevel"/>
    <w:tmpl w:val="6D0CF488"/>
    <w:lvl w:ilvl="0">
      <w:start w:val="1"/>
      <w:numFmt w:val="bullet"/>
      <w:lvlText w:val="-"/>
      <w:lvlJc w:val="left"/>
      <w:pPr>
        <w:ind w:left="0" w:firstLine="0"/>
      </w:pPr>
      <w:rPr>
        <w:rFonts w:ascii="Arial" w:eastAsia="Arial" w:hAnsi="Arial" w:cs="Arial"/>
        <w:b w:val="0"/>
        <w:i w:val="0"/>
        <w:smallCaps w:val="0"/>
        <w:strike w:val="0"/>
        <w:color w:val="47545C"/>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B8"/>
    <w:rsid w:val="00111126"/>
    <w:rsid w:val="00211CE7"/>
    <w:rsid w:val="004447B8"/>
    <w:rsid w:val="0053512A"/>
    <w:rsid w:val="008F128D"/>
    <w:rsid w:val="00B160C2"/>
    <w:rsid w:val="00B62C63"/>
    <w:rsid w:val="00F17E7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C517E"/>
  <w15:docId w15:val="{DE082472-F80D-43BF-B32E-2D2FD5AE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47545C"/>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7545C"/>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4"/>
      <w:szCs w:val="14"/>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color w:val="F4637E"/>
      <w:sz w:val="19"/>
      <w:szCs w:val="19"/>
      <w:u w:val="none"/>
      <w:shd w:val="clear" w:color="auto" w:fill="auto"/>
    </w:rPr>
  </w:style>
  <w:style w:type="paragraph" w:customStyle="1" w:styleId="Bodytext30">
    <w:name w:val="Body text (3)"/>
    <w:basedOn w:val="Normal"/>
    <w:link w:val="Bodytext3"/>
    <w:rPr>
      <w:rFonts w:ascii="Times New Roman" w:eastAsia="Times New Roman" w:hAnsi="Times New Roman" w:cs="Times New Roman"/>
      <w:b/>
      <w:bCs/>
      <w:color w:val="47545C"/>
      <w:sz w:val="22"/>
      <w:szCs w:val="22"/>
    </w:rPr>
  </w:style>
  <w:style w:type="paragraph" w:customStyle="1" w:styleId="Bodytext50">
    <w:name w:val="Body text (5)"/>
    <w:basedOn w:val="Normal"/>
    <w:link w:val="Bodytext5"/>
    <w:pPr>
      <w:jc w:val="center"/>
    </w:pPr>
    <w:rPr>
      <w:rFonts w:ascii="Arial" w:eastAsia="Arial" w:hAnsi="Arial" w:cs="Arial"/>
      <w:sz w:val="22"/>
      <w:szCs w:val="22"/>
    </w:rPr>
  </w:style>
  <w:style w:type="paragraph" w:customStyle="1" w:styleId="Bodytext20">
    <w:name w:val="Body text (2)"/>
    <w:basedOn w:val="Normal"/>
    <w:link w:val="Bodytext2"/>
    <w:pPr>
      <w:spacing w:line="226" w:lineRule="auto"/>
    </w:pPr>
    <w:rPr>
      <w:rFonts w:ascii="Arial" w:eastAsia="Arial" w:hAnsi="Arial" w:cs="Arial"/>
      <w:sz w:val="8"/>
      <w:szCs w:val="8"/>
    </w:rPr>
  </w:style>
  <w:style w:type="paragraph" w:styleId="BodyText">
    <w:name w:val="Body Text"/>
    <w:basedOn w:val="Normal"/>
    <w:link w:val="BodyTextChar"/>
    <w:qFormat/>
    <w:pPr>
      <w:spacing w:line="298" w:lineRule="auto"/>
      <w:ind w:firstLine="400"/>
    </w:pPr>
    <w:rPr>
      <w:rFonts w:ascii="Times New Roman" w:eastAsia="Times New Roman" w:hAnsi="Times New Roman" w:cs="Times New Roman"/>
      <w:color w:val="47545C"/>
      <w:sz w:val="26"/>
      <w:szCs w:val="26"/>
    </w:rPr>
  </w:style>
  <w:style w:type="paragraph" w:customStyle="1" w:styleId="Bodytext40">
    <w:name w:val="Body text (4)"/>
    <w:basedOn w:val="Normal"/>
    <w:link w:val="Bodytext4"/>
    <w:pPr>
      <w:jc w:val="center"/>
    </w:pPr>
    <w:rPr>
      <w:rFonts w:ascii="Times New Roman" w:eastAsia="Times New Roman" w:hAnsi="Times New Roman" w:cs="Times New Roman"/>
      <w:i/>
      <w:iCs/>
      <w:sz w:val="14"/>
      <w:szCs w:val="14"/>
    </w:rPr>
  </w:style>
  <w:style w:type="paragraph" w:customStyle="1" w:styleId="Bodytext60">
    <w:name w:val="Body text (6)"/>
    <w:basedOn w:val="Normal"/>
    <w:link w:val="Bodytext6"/>
    <w:rPr>
      <w:rFonts w:ascii="Arial" w:eastAsia="Arial" w:hAnsi="Arial" w:cs="Arial"/>
      <w:b/>
      <w:bCs/>
      <w:color w:val="F4637E"/>
      <w:sz w:val="19"/>
      <w:szCs w:val="19"/>
    </w:rPr>
  </w:style>
  <w:style w:type="paragraph" w:styleId="Header">
    <w:name w:val="header"/>
    <w:basedOn w:val="Normal"/>
    <w:link w:val="HeaderChar"/>
    <w:uiPriority w:val="99"/>
    <w:unhideWhenUsed/>
    <w:rsid w:val="008B7C54"/>
    <w:pPr>
      <w:tabs>
        <w:tab w:val="center" w:pos="4680"/>
        <w:tab w:val="right" w:pos="9360"/>
      </w:tabs>
    </w:pPr>
  </w:style>
  <w:style w:type="character" w:customStyle="1" w:styleId="HeaderChar">
    <w:name w:val="Header Char"/>
    <w:basedOn w:val="DefaultParagraphFont"/>
    <w:link w:val="Header"/>
    <w:uiPriority w:val="99"/>
    <w:rsid w:val="008B7C54"/>
    <w:rPr>
      <w:color w:val="000000"/>
    </w:rPr>
  </w:style>
  <w:style w:type="paragraph" w:styleId="Footer">
    <w:name w:val="footer"/>
    <w:basedOn w:val="Normal"/>
    <w:link w:val="FooterChar"/>
    <w:uiPriority w:val="99"/>
    <w:unhideWhenUsed/>
    <w:rsid w:val="008B7C54"/>
    <w:pPr>
      <w:tabs>
        <w:tab w:val="center" w:pos="4680"/>
        <w:tab w:val="right" w:pos="9360"/>
      </w:tabs>
    </w:pPr>
  </w:style>
  <w:style w:type="character" w:customStyle="1" w:styleId="FooterChar">
    <w:name w:val="Footer Char"/>
    <w:basedOn w:val="DefaultParagraphFont"/>
    <w:link w:val="Footer"/>
    <w:uiPriority w:val="99"/>
    <w:rsid w:val="008B7C54"/>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vlYcHGA4gdxFEGoxLASMbCJWTQ==">CgMxLjAyCGguZ2pkZ3hzOAByITFDekZfQUhwd3NlZ1lTMXlqaU8yckdVV2YwN1dnNUpjRA==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4</cp:revision>
  <dcterms:created xsi:type="dcterms:W3CDTF">2024-04-26T04:40:00Z</dcterms:created>
  <dcterms:modified xsi:type="dcterms:W3CDTF">2024-04-26T04:40:00Z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f752dbcd0434117481dcd2808456ed9cea08a9aa23ef808978e84ffe8a2c0713</vt:lpwstr>
  </property>
</Properties>
</file>