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E19D8" w14:textId="77777777" w:rsidR="0054696C" w:rsidRPr="00C263D2" w:rsidRDefault="00C263D2" w:rsidP="00487259">
      <w:pP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263D2">
        <w:rPr>
          <w:rFonts w:ascii="Arial" w:hAnsi="Arial"/>
          <w:b/>
          <w:color w:val="010000"/>
          <w:sz w:val="20"/>
        </w:rPr>
        <w:t>HMH: Annual General Mandate 2024</w:t>
      </w:r>
    </w:p>
    <w:p w14:paraId="1D423063" w14:textId="1514BDC8" w:rsidR="0054696C" w:rsidRPr="00C263D2" w:rsidRDefault="00C263D2" w:rsidP="00487259">
      <w:pP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On April 17, 2024, Hai Minh Corporation announced </w:t>
      </w:r>
      <w:r w:rsidR="00406E8E" w:rsidRPr="00C263D2">
        <w:rPr>
          <w:rFonts w:ascii="Arial" w:hAnsi="Arial"/>
          <w:color w:val="010000"/>
          <w:sz w:val="20"/>
        </w:rPr>
        <w:t xml:space="preserve">General </w:t>
      </w:r>
      <w:r w:rsidRPr="00C263D2">
        <w:rPr>
          <w:rFonts w:ascii="Arial" w:hAnsi="Arial"/>
          <w:color w:val="010000"/>
          <w:sz w:val="20"/>
        </w:rPr>
        <w:t xml:space="preserve">Mandate No. 01/2024/NQ-DHDCD on </w:t>
      </w:r>
      <w:r w:rsidR="00406E8E" w:rsidRPr="00C263D2">
        <w:rPr>
          <w:rFonts w:ascii="Arial" w:hAnsi="Arial"/>
          <w:color w:val="010000"/>
          <w:sz w:val="20"/>
        </w:rPr>
        <w:t>a</w:t>
      </w:r>
      <w:r w:rsidRPr="00C263D2">
        <w:rPr>
          <w:rFonts w:ascii="Arial" w:hAnsi="Arial"/>
          <w:color w:val="010000"/>
          <w:sz w:val="20"/>
        </w:rPr>
        <w:t>pproving the contents at the Annual General Meeting of Shareholders 2024 as follows:</w:t>
      </w:r>
    </w:p>
    <w:p w14:paraId="0F47134B" w14:textId="7BEF09DE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Article 1: Approve the </w:t>
      </w:r>
      <w:r w:rsidR="00406E8E" w:rsidRPr="00C263D2">
        <w:rPr>
          <w:rFonts w:ascii="Arial" w:hAnsi="Arial"/>
          <w:color w:val="010000"/>
          <w:sz w:val="20"/>
        </w:rPr>
        <w:t xml:space="preserve">Report of the </w:t>
      </w:r>
      <w:r w:rsidRPr="00C263D2">
        <w:rPr>
          <w:rFonts w:ascii="Arial" w:hAnsi="Arial"/>
          <w:color w:val="010000"/>
          <w:sz w:val="20"/>
        </w:rPr>
        <w:t>Board of Directors</w:t>
      </w:r>
      <w:r w:rsidR="00406E8E" w:rsidRPr="00C263D2">
        <w:rPr>
          <w:rFonts w:ascii="Arial" w:hAnsi="Arial"/>
          <w:color w:val="010000"/>
          <w:sz w:val="20"/>
        </w:rPr>
        <w:t xml:space="preserve"> </w:t>
      </w:r>
      <w:r w:rsidRPr="00C263D2">
        <w:rPr>
          <w:rFonts w:ascii="Arial" w:hAnsi="Arial"/>
          <w:color w:val="010000"/>
          <w:sz w:val="20"/>
        </w:rPr>
        <w:t xml:space="preserve">on operating </w:t>
      </w:r>
      <w:r w:rsidR="00406E8E" w:rsidRPr="00C263D2">
        <w:rPr>
          <w:rFonts w:ascii="Arial" w:hAnsi="Arial"/>
          <w:color w:val="010000"/>
          <w:sz w:val="20"/>
        </w:rPr>
        <w:t>status</w:t>
      </w:r>
      <w:r w:rsidRPr="00C263D2">
        <w:rPr>
          <w:rFonts w:ascii="Arial" w:hAnsi="Arial"/>
          <w:color w:val="010000"/>
          <w:sz w:val="20"/>
        </w:rPr>
        <w:t xml:space="preserve"> in 2023 and orientation for 2024.</w:t>
      </w:r>
    </w:p>
    <w:p w14:paraId="34BBE91B" w14:textId="480A3BA0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Article 2: Approve the</w:t>
      </w:r>
      <w:r w:rsidR="00406E8E" w:rsidRPr="00C263D2">
        <w:rPr>
          <w:rFonts w:ascii="Arial" w:hAnsi="Arial"/>
          <w:color w:val="010000"/>
          <w:sz w:val="20"/>
        </w:rPr>
        <w:t xml:space="preserve"> Report of the</w:t>
      </w:r>
      <w:r w:rsidRPr="00C263D2">
        <w:rPr>
          <w:rFonts w:ascii="Arial" w:hAnsi="Arial"/>
          <w:color w:val="010000"/>
          <w:sz w:val="20"/>
        </w:rPr>
        <w:t xml:space="preserve"> Board of Management on the implementation of financial targets in 2023 and the financial plan in 2024.</w:t>
      </w:r>
    </w:p>
    <w:p w14:paraId="27EA87E1" w14:textId="3E137088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Article 3: Approve the Report of the Supervisory Board on activities </w:t>
      </w:r>
      <w:r w:rsidR="00406E8E" w:rsidRPr="00C263D2">
        <w:rPr>
          <w:rFonts w:ascii="Arial" w:hAnsi="Arial"/>
          <w:color w:val="010000"/>
          <w:sz w:val="20"/>
        </w:rPr>
        <w:t>in</w:t>
      </w:r>
      <w:r w:rsidRPr="00C263D2">
        <w:rPr>
          <w:rFonts w:ascii="Arial" w:hAnsi="Arial"/>
          <w:color w:val="010000"/>
          <w:sz w:val="20"/>
        </w:rPr>
        <w:t xml:space="preserve"> 2023.</w:t>
      </w:r>
    </w:p>
    <w:p w14:paraId="6B6B78C2" w14:textId="3A2BDBAA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Article 4: Approve the </w:t>
      </w:r>
      <w:r w:rsidR="00406E8E" w:rsidRPr="00C263D2">
        <w:rPr>
          <w:rFonts w:ascii="Arial" w:hAnsi="Arial"/>
          <w:color w:val="010000"/>
          <w:sz w:val="20"/>
        </w:rPr>
        <w:t>Financial Statements</w:t>
      </w:r>
      <w:r w:rsidRPr="00C263D2">
        <w:rPr>
          <w:rFonts w:ascii="Arial" w:hAnsi="Arial"/>
          <w:color w:val="010000"/>
          <w:sz w:val="20"/>
        </w:rPr>
        <w:t xml:space="preserve"> 2023 audited by CPA Vietnam Auditing Company Limited with </w:t>
      </w:r>
      <w:r w:rsidR="00406E8E" w:rsidRPr="00C263D2">
        <w:rPr>
          <w:rFonts w:ascii="Arial" w:hAnsi="Arial"/>
          <w:color w:val="010000"/>
          <w:sz w:val="20"/>
        </w:rPr>
        <w:t>a number of</w:t>
      </w:r>
      <w:r w:rsidRPr="00C263D2">
        <w:rPr>
          <w:rFonts w:ascii="Arial" w:hAnsi="Arial"/>
          <w:color w:val="010000"/>
          <w:sz w:val="20"/>
        </w:rPr>
        <w:t xml:space="preserve"> basic </w:t>
      </w:r>
      <w:r w:rsidR="00406E8E" w:rsidRPr="00C263D2">
        <w:rPr>
          <w:rFonts w:ascii="Arial" w:hAnsi="Arial"/>
          <w:color w:val="010000"/>
          <w:sz w:val="20"/>
        </w:rPr>
        <w:t>targets</w:t>
      </w:r>
      <w:r w:rsidRPr="00C263D2">
        <w:rPr>
          <w:rFonts w:ascii="Arial" w:hAnsi="Arial"/>
          <w:color w:val="010000"/>
          <w:sz w:val="20"/>
        </w:rPr>
        <w:t xml:space="preserve"> as follows:</w:t>
      </w:r>
    </w:p>
    <w:tbl>
      <w:tblPr>
        <w:tblStyle w:val="a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3330"/>
        <w:gridCol w:w="2519"/>
        <w:gridCol w:w="2631"/>
      </w:tblGrid>
      <w:tr w:rsidR="0054696C" w:rsidRPr="00C263D2" w14:paraId="28A56C7C" w14:textId="77777777" w:rsidTr="00406E8E">
        <w:tc>
          <w:tcPr>
            <w:tcW w:w="5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04A942" w14:textId="77777777" w:rsidR="0054696C" w:rsidRPr="00C263D2" w:rsidRDefault="00C263D2" w:rsidP="00406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DE0956" w14:textId="3F96ED89" w:rsidR="0054696C" w:rsidRPr="00C263D2" w:rsidRDefault="00C263D2" w:rsidP="00406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192991" w14:textId="19E6D00B" w:rsidR="0054696C" w:rsidRPr="00C263D2" w:rsidRDefault="00C263D2" w:rsidP="00406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 xml:space="preserve">Holding Company 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>R</w:t>
            </w:r>
            <w:r w:rsidRPr="00C263D2">
              <w:rPr>
                <w:rFonts w:ascii="Arial" w:hAnsi="Arial"/>
                <w:color w:val="010000"/>
                <w:sz w:val="20"/>
              </w:rPr>
              <w:t>eport (VND)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5C8D4B" w14:textId="77777777" w:rsidR="0054696C" w:rsidRPr="00C263D2" w:rsidRDefault="00C263D2" w:rsidP="00406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Consolidated Report (VND)</w:t>
            </w:r>
          </w:p>
        </w:tc>
      </w:tr>
      <w:tr w:rsidR="0054696C" w:rsidRPr="00C263D2" w14:paraId="035ED170" w14:textId="77777777">
        <w:tc>
          <w:tcPr>
            <w:tcW w:w="5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3F9CCC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6F3073" w14:textId="0687E1C1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 xml:space="preserve">Revenue from 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 xml:space="preserve">service </w:t>
            </w:r>
            <w:r w:rsidRPr="00C263D2">
              <w:rPr>
                <w:rFonts w:ascii="Arial" w:hAnsi="Arial"/>
                <w:color w:val="010000"/>
                <w:sz w:val="20"/>
              </w:rPr>
              <w:t>provision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A28CD0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14,125,733,659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00C3A8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80,380,729,810</w:t>
            </w:r>
          </w:p>
        </w:tc>
      </w:tr>
      <w:tr w:rsidR="0054696C" w:rsidRPr="00C263D2" w14:paraId="2161BDFD" w14:textId="77777777">
        <w:tc>
          <w:tcPr>
            <w:tcW w:w="5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955B26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D6BA1D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Financial revenue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AEC74C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3,827,385,641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208381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2,044,648,789</w:t>
            </w:r>
          </w:p>
        </w:tc>
      </w:tr>
      <w:tr w:rsidR="0054696C" w:rsidRPr="00C263D2" w14:paraId="05434149" w14:textId="77777777">
        <w:tc>
          <w:tcPr>
            <w:tcW w:w="5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C24962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861076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Profit after tax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32733A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4,032,976,234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7B7BA4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3,926,610,448</w:t>
            </w:r>
          </w:p>
        </w:tc>
      </w:tr>
      <w:tr w:rsidR="0054696C" w:rsidRPr="00C263D2" w14:paraId="2E672C92" w14:textId="77777777">
        <w:tc>
          <w:tcPr>
            <w:tcW w:w="5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2C46FE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4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AC3DF7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Total assets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D1EF59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215,576,430,279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D7D72F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222,803,131,820</w:t>
            </w:r>
          </w:p>
        </w:tc>
      </w:tr>
      <w:tr w:rsidR="0054696C" w:rsidRPr="00C263D2" w14:paraId="6667543E" w14:textId="77777777">
        <w:tc>
          <w:tcPr>
            <w:tcW w:w="5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25B8AD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5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2AA44F" w14:textId="48DA59C0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Total owner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>s’</w:t>
            </w:r>
            <w:r w:rsidRPr="00C263D2">
              <w:rPr>
                <w:rFonts w:ascii="Arial" w:hAnsi="Arial"/>
                <w:color w:val="010000"/>
                <w:sz w:val="20"/>
              </w:rPr>
              <w:t xml:space="preserve"> equity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EE2DE9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202,847,983,836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641ADC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201,697,676,115</w:t>
            </w:r>
          </w:p>
        </w:tc>
      </w:tr>
    </w:tbl>
    <w:p w14:paraId="2517C510" w14:textId="77777777" w:rsidR="0054696C" w:rsidRPr="00C263D2" w:rsidRDefault="00C263D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Article 5: Approve the profit distribution plan in 2023 as follows:</w:t>
      </w:r>
    </w:p>
    <w:tbl>
      <w:tblPr>
        <w:tblStyle w:val="a0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6837"/>
        <w:gridCol w:w="1482"/>
      </w:tblGrid>
      <w:tr w:rsidR="0054696C" w:rsidRPr="00C263D2" w14:paraId="4A2463F3" w14:textId="77777777" w:rsidTr="00406E8E">
        <w:tc>
          <w:tcPr>
            <w:tcW w:w="6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EFB7ED" w14:textId="77777777" w:rsidR="0054696C" w:rsidRPr="00C263D2" w:rsidRDefault="00C263D2" w:rsidP="00406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68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6FD304" w14:textId="77777777" w:rsidR="0054696C" w:rsidRPr="00C263D2" w:rsidRDefault="00C263D2" w:rsidP="00406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FF2B14" w14:textId="71537119" w:rsidR="0054696C" w:rsidRPr="00C263D2" w:rsidRDefault="00406E8E" w:rsidP="00406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Thousand VND</w:t>
            </w:r>
          </w:p>
        </w:tc>
      </w:tr>
      <w:tr w:rsidR="0054696C" w:rsidRPr="00C263D2" w14:paraId="764AEB7A" w14:textId="77777777">
        <w:tc>
          <w:tcPr>
            <w:tcW w:w="6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1B3844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68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4A847C" w14:textId="7E379BB3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 xml:space="preserve">Remaining profit according to books 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>as of</w:t>
            </w:r>
            <w:r w:rsidRPr="00C263D2">
              <w:rPr>
                <w:rFonts w:ascii="Arial" w:hAnsi="Arial"/>
                <w:color w:val="010000"/>
                <w:sz w:val="20"/>
              </w:rPr>
              <w:t xml:space="preserve"> December 31, 2022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C96596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56,488,961</w:t>
            </w:r>
          </w:p>
        </w:tc>
      </w:tr>
      <w:tr w:rsidR="0054696C" w:rsidRPr="00C263D2" w14:paraId="2F5D07AE" w14:textId="77777777">
        <w:tc>
          <w:tcPr>
            <w:tcW w:w="6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38AC2B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68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31C969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Profit after tax in 2023 (interests of minority shareholders excluded)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08882E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3,855,699</w:t>
            </w:r>
          </w:p>
        </w:tc>
      </w:tr>
      <w:tr w:rsidR="0054696C" w:rsidRPr="00C263D2" w14:paraId="6B28E6C8" w14:textId="77777777">
        <w:tc>
          <w:tcPr>
            <w:tcW w:w="6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FC762E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68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4E7FA0" w14:textId="40A97700" w:rsidR="0054696C" w:rsidRPr="00C263D2" w:rsidRDefault="00406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Appropriated funds that are approved at the Annual General Meeting of Shareholders 2023. In which: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8310D1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294,291</w:t>
            </w:r>
          </w:p>
        </w:tc>
      </w:tr>
      <w:tr w:rsidR="0054696C" w:rsidRPr="00C263D2" w14:paraId="7136FA2C" w14:textId="77777777">
        <w:tc>
          <w:tcPr>
            <w:tcW w:w="6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2A8417" w14:textId="77777777" w:rsidR="0054696C" w:rsidRPr="00C263D2" w:rsidRDefault="0054696C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8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1A1C87" w14:textId="6034134B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+ Bonus and welfare fund = Rate of 10% (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 xml:space="preserve">consolidated </w:t>
            </w:r>
            <w:r w:rsidRPr="00C263D2">
              <w:rPr>
                <w:rFonts w:ascii="Arial" w:hAnsi="Arial"/>
                <w:color w:val="010000"/>
                <w:sz w:val="20"/>
              </w:rPr>
              <w:t>profit after tax in 2022)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C54D66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196,194</w:t>
            </w:r>
          </w:p>
        </w:tc>
      </w:tr>
      <w:tr w:rsidR="0054696C" w:rsidRPr="00C263D2" w14:paraId="7AF0A39B" w14:textId="77777777">
        <w:tc>
          <w:tcPr>
            <w:tcW w:w="6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286C0F" w14:textId="77777777" w:rsidR="0054696C" w:rsidRPr="00C263D2" w:rsidRDefault="0054696C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8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C661E0" w14:textId="21FB214C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 xml:space="preserve">+ Operating fund 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 xml:space="preserve">of the Board of Directors </w:t>
            </w:r>
            <w:r w:rsidRPr="00C263D2">
              <w:rPr>
                <w:rFonts w:ascii="Arial" w:hAnsi="Arial"/>
                <w:color w:val="010000"/>
                <w:sz w:val="20"/>
              </w:rPr>
              <w:t>= Rate of 5% (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 xml:space="preserve">consolidated </w:t>
            </w:r>
            <w:r w:rsidRPr="00C263D2">
              <w:rPr>
                <w:rFonts w:ascii="Arial" w:hAnsi="Arial"/>
                <w:color w:val="010000"/>
                <w:sz w:val="20"/>
              </w:rPr>
              <w:t>profit after tax in 2022)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A5B3D5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98,097</w:t>
            </w:r>
          </w:p>
        </w:tc>
      </w:tr>
      <w:tr w:rsidR="0054696C" w:rsidRPr="00C263D2" w14:paraId="3B90764B" w14:textId="77777777">
        <w:tc>
          <w:tcPr>
            <w:tcW w:w="6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C1581B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4</w:t>
            </w:r>
          </w:p>
        </w:tc>
        <w:tc>
          <w:tcPr>
            <w:tcW w:w="68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5E0C1B" w14:textId="4A4EA9BF" w:rsidR="0054696C" w:rsidRPr="00C263D2" w:rsidRDefault="00406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 xml:space="preserve">No dividend payment according to the </w:t>
            </w:r>
            <w:proofErr w:type="spellStart"/>
            <w:r w:rsidRPr="00C263D2">
              <w:rPr>
                <w:rFonts w:ascii="Arial" w:hAnsi="Arial"/>
                <w:color w:val="010000"/>
                <w:sz w:val="20"/>
              </w:rPr>
              <w:t>the</w:t>
            </w:r>
            <w:proofErr w:type="spellEnd"/>
            <w:r w:rsidRPr="00C263D2">
              <w:rPr>
                <w:rFonts w:ascii="Arial" w:hAnsi="Arial"/>
                <w:color w:val="010000"/>
                <w:sz w:val="20"/>
              </w:rPr>
              <w:t xml:space="preserve"> General Mandate 2023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032ADE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0</w:t>
            </w:r>
          </w:p>
        </w:tc>
      </w:tr>
      <w:tr w:rsidR="0054696C" w:rsidRPr="00C263D2" w14:paraId="66FA3033" w14:textId="77777777">
        <w:tc>
          <w:tcPr>
            <w:tcW w:w="6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16E773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5</w:t>
            </w:r>
          </w:p>
        </w:tc>
        <w:tc>
          <w:tcPr>
            <w:tcW w:w="68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B9F633" w14:textId="766005FB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 xml:space="preserve">Increase due to decrease in ownership 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>rate</w:t>
            </w:r>
            <w:r w:rsidRPr="00C263D2">
              <w:rPr>
                <w:rFonts w:ascii="Arial" w:hAnsi="Arial"/>
                <w:color w:val="010000"/>
                <w:sz w:val="20"/>
              </w:rPr>
              <w:t xml:space="preserve"> in joint ventures.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26F10B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24,991</w:t>
            </w:r>
          </w:p>
        </w:tc>
      </w:tr>
      <w:tr w:rsidR="0054696C" w:rsidRPr="00C263D2" w14:paraId="1F3C49C8" w14:textId="77777777">
        <w:tc>
          <w:tcPr>
            <w:tcW w:w="6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180273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6</w:t>
            </w:r>
          </w:p>
        </w:tc>
        <w:tc>
          <w:tcPr>
            <w:tcW w:w="68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22BB29" w14:textId="06C90C6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 xml:space="preserve">Remaining profit according to books 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>as of</w:t>
            </w:r>
            <w:r w:rsidRPr="00C263D2">
              <w:rPr>
                <w:rFonts w:ascii="Arial" w:hAnsi="Arial"/>
                <w:color w:val="010000"/>
                <w:sz w:val="20"/>
              </w:rPr>
              <w:t xml:space="preserve"> December 31, 2023 [6 = (1+2) – (3+4+5)]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72F560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60,075,360</w:t>
            </w:r>
          </w:p>
        </w:tc>
      </w:tr>
      <w:tr w:rsidR="0054696C" w:rsidRPr="00C263D2" w14:paraId="42DEC482" w14:textId="77777777">
        <w:tc>
          <w:tcPr>
            <w:tcW w:w="6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E73254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lastRenderedPageBreak/>
              <w:t>7</w:t>
            </w:r>
          </w:p>
        </w:tc>
        <w:tc>
          <w:tcPr>
            <w:tcW w:w="68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82B4F4" w14:textId="526EDFA3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 xml:space="preserve">Proposed appropriation 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>for</w:t>
            </w:r>
            <w:r w:rsidRPr="00C263D2">
              <w:rPr>
                <w:rFonts w:ascii="Arial" w:hAnsi="Arial"/>
                <w:color w:val="010000"/>
                <w:sz w:val="20"/>
              </w:rPr>
              <w:t xml:space="preserve"> funds in 2023 to be implemented in 2024: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64D8D3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578,354</w:t>
            </w:r>
          </w:p>
        </w:tc>
      </w:tr>
      <w:tr w:rsidR="0054696C" w:rsidRPr="00C263D2" w14:paraId="571141C8" w14:textId="77777777">
        <w:tc>
          <w:tcPr>
            <w:tcW w:w="6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258F5B" w14:textId="77777777" w:rsidR="0054696C" w:rsidRPr="00C263D2" w:rsidRDefault="0054696C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8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F997FB" w14:textId="4A87993D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+ Bonus and welfare fund = Rate of 10% (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 xml:space="preserve">consolidated </w:t>
            </w:r>
            <w:r w:rsidRPr="00C263D2">
              <w:rPr>
                <w:rFonts w:ascii="Arial" w:hAnsi="Arial"/>
                <w:color w:val="010000"/>
                <w:sz w:val="20"/>
              </w:rPr>
              <w:t>profit after tax in 2023)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48772F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385,569</w:t>
            </w:r>
          </w:p>
        </w:tc>
      </w:tr>
      <w:tr w:rsidR="0054696C" w:rsidRPr="00C263D2" w14:paraId="2F62C586" w14:textId="77777777">
        <w:tc>
          <w:tcPr>
            <w:tcW w:w="6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156B39" w14:textId="77777777" w:rsidR="0054696C" w:rsidRPr="00C263D2" w:rsidRDefault="0054696C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8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BF542D" w14:textId="77D504F1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 xml:space="preserve">+ Operating fund 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 xml:space="preserve">of the Board of Directors </w:t>
            </w:r>
            <w:r w:rsidRPr="00C263D2">
              <w:rPr>
                <w:rFonts w:ascii="Arial" w:hAnsi="Arial"/>
                <w:color w:val="010000"/>
                <w:sz w:val="20"/>
              </w:rPr>
              <w:t>= Rate of 5% (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 xml:space="preserve">consolidated </w:t>
            </w:r>
            <w:r w:rsidRPr="00C263D2">
              <w:rPr>
                <w:rFonts w:ascii="Arial" w:hAnsi="Arial"/>
                <w:color w:val="010000"/>
                <w:sz w:val="20"/>
              </w:rPr>
              <w:t>profit after tax in 2023)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0D46D3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192,785</w:t>
            </w:r>
          </w:p>
        </w:tc>
      </w:tr>
      <w:tr w:rsidR="0054696C" w:rsidRPr="00C263D2" w14:paraId="538DFFB7" w14:textId="77777777">
        <w:tc>
          <w:tcPr>
            <w:tcW w:w="6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407A59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8</w:t>
            </w:r>
          </w:p>
        </w:tc>
        <w:tc>
          <w:tcPr>
            <w:tcW w:w="68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A2A2E9" w14:textId="53F0D695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 xml:space="preserve">Remaining profit according to books after </w:t>
            </w:r>
            <w:r w:rsidR="00406E8E" w:rsidRPr="00C263D2">
              <w:rPr>
                <w:rFonts w:ascii="Arial" w:hAnsi="Arial"/>
                <w:color w:val="010000"/>
                <w:sz w:val="20"/>
              </w:rPr>
              <w:t>appropriation for</w:t>
            </w:r>
            <w:r w:rsidRPr="00C263D2">
              <w:rPr>
                <w:rFonts w:ascii="Arial" w:hAnsi="Arial"/>
                <w:color w:val="010000"/>
                <w:sz w:val="20"/>
              </w:rPr>
              <w:t xml:space="preserve"> funds [8= 6-7]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50CB24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59,497,006</w:t>
            </w:r>
          </w:p>
        </w:tc>
      </w:tr>
      <w:tr w:rsidR="0054696C" w:rsidRPr="00C263D2" w14:paraId="525E5969" w14:textId="77777777">
        <w:tc>
          <w:tcPr>
            <w:tcW w:w="6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97EEF1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9</w:t>
            </w:r>
          </w:p>
        </w:tc>
        <w:tc>
          <w:tcPr>
            <w:tcW w:w="68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B656C3" w14:textId="64423387" w:rsidR="0054696C" w:rsidRPr="00C263D2" w:rsidRDefault="00406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Dividend in 2023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2B4E0F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0%</w:t>
            </w:r>
          </w:p>
        </w:tc>
      </w:tr>
    </w:tbl>
    <w:p w14:paraId="0898E153" w14:textId="5ABFB222" w:rsidR="0054696C" w:rsidRPr="00C263D2" w:rsidRDefault="00C263D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Article 6: Approve the production and business plan in 2024 as follows:</w:t>
      </w:r>
      <w:r w:rsidR="00406E8E" w:rsidRPr="00C263D2">
        <w:rPr>
          <w:rFonts w:ascii="Arial" w:hAnsi="Arial"/>
          <w:color w:val="010000"/>
          <w:sz w:val="20"/>
        </w:rPr>
        <w:t xml:space="preserve"> </w:t>
      </w:r>
    </w:p>
    <w:tbl>
      <w:tblPr>
        <w:tblStyle w:val="a1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7"/>
        <w:gridCol w:w="5517"/>
        <w:gridCol w:w="2673"/>
      </w:tblGrid>
      <w:tr w:rsidR="0054696C" w:rsidRPr="00C263D2" w14:paraId="46B211F4" w14:textId="77777777" w:rsidTr="009628F6">
        <w:tc>
          <w:tcPr>
            <w:tcW w:w="82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08DEE7" w14:textId="77777777" w:rsidR="0054696C" w:rsidRPr="00C263D2" w:rsidRDefault="00C263D2" w:rsidP="00962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551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5C3523" w14:textId="202B8C59" w:rsidR="0054696C" w:rsidRPr="00C263D2" w:rsidRDefault="00C263D2" w:rsidP="00962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6F44E1" w14:textId="77777777" w:rsidR="0054696C" w:rsidRPr="00C263D2" w:rsidRDefault="00C263D2" w:rsidP="00962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2024 (Million VND)</w:t>
            </w:r>
          </w:p>
        </w:tc>
      </w:tr>
      <w:tr w:rsidR="0054696C" w:rsidRPr="00C263D2" w14:paraId="177A035E" w14:textId="77777777" w:rsidTr="009628F6">
        <w:tc>
          <w:tcPr>
            <w:tcW w:w="82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67898B" w14:textId="77777777" w:rsidR="0054696C" w:rsidRPr="00C263D2" w:rsidRDefault="00C263D2" w:rsidP="00962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551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147368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Revenue from goods sales and service provision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9C5BC8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90,000</w:t>
            </w:r>
          </w:p>
        </w:tc>
      </w:tr>
      <w:tr w:rsidR="0054696C" w:rsidRPr="00C263D2" w14:paraId="5FEBC32A" w14:textId="77777777" w:rsidTr="009628F6">
        <w:tc>
          <w:tcPr>
            <w:tcW w:w="82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DFDC5B" w14:textId="77777777" w:rsidR="0054696C" w:rsidRPr="00C263D2" w:rsidRDefault="00C263D2" w:rsidP="00962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551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15532B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Total expenses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2476BC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82,000</w:t>
            </w:r>
          </w:p>
        </w:tc>
      </w:tr>
      <w:tr w:rsidR="0054696C" w:rsidRPr="00C263D2" w14:paraId="522459C9" w14:textId="77777777" w:rsidTr="009628F6">
        <w:tc>
          <w:tcPr>
            <w:tcW w:w="82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AB1D4A" w14:textId="77777777" w:rsidR="0054696C" w:rsidRPr="00C263D2" w:rsidRDefault="00C263D2" w:rsidP="00962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551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8F8377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Profit before tax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B32F25" w14:textId="77777777" w:rsidR="0054696C" w:rsidRPr="00C263D2" w:rsidRDefault="00C2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263D2">
              <w:rPr>
                <w:rFonts w:ascii="Arial" w:hAnsi="Arial"/>
                <w:color w:val="010000"/>
                <w:sz w:val="20"/>
              </w:rPr>
              <w:t>8,000</w:t>
            </w:r>
          </w:p>
        </w:tc>
      </w:tr>
    </w:tbl>
    <w:p w14:paraId="57954877" w14:textId="191472E9" w:rsidR="0054696C" w:rsidRPr="00C263D2" w:rsidRDefault="00C263D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Article 7: </w:t>
      </w:r>
      <w:r w:rsidR="009628F6" w:rsidRPr="00C263D2">
        <w:rPr>
          <w:rFonts w:ascii="Arial" w:hAnsi="Arial"/>
          <w:color w:val="010000"/>
          <w:sz w:val="20"/>
        </w:rPr>
        <w:t>R</w:t>
      </w:r>
      <w:r w:rsidRPr="00C263D2">
        <w:rPr>
          <w:rFonts w:ascii="Arial" w:hAnsi="Arial"/>
          <w:color w:val="010000"/>
          <w:sz w:val="20"/>
        </w:rPr>
        <w:t xml:space="preserve">emuneration </w:t>
      </w:r>
      <w:r w:rsidR="009628F6" w:rsidRPr="00C263D2">
        <w:rPr>
          <w:rFonts w:ascii="Arial" w:hAnsi="Arial"/>
          <w:color w:val="010000"/>
          <w:sz w:val="20"/>
        </w:rPr>
        <w:t xml:space="preserve">settlement </w:t>
      </w:r>
      <w:r w:rsidRPr="00C263D2">
        <w:rPr>
          <w:rFonts w:ascii="Arial" w:hAnsi="Arial"/>
          <w:color w:val="010000"/>
          <w:sz w:val="20"/>
        </w:rPr>
        <w:t xml:space="preserve">for the Board of Directors and </w:t>
      </w:r>
      <w:r w:rsidR="009628F6" w:rsidRPr="00C263D2">
        <w:rPr>
          <w:rFonts w:ascii="Arial" w:hAnsi="Arial"/>
          <w:color w:val="010000"/>
          <w:sz w:val="20"/>
        </w:rPr>
        <w:t xml:space="preserve">the </w:t>
      </w:r>
      <w:r w:rsidRPr="00C263D2">
        <w:rPr>
          <w:rFonts w:ascii="Arial" w:hAnsi="Arial"/>
          <w:color w:val="010000"/>
          <w:sz w:val="20"/>
        </w:rPr>
        <w:t>Supervisory Board in 2024 is as follows:</w:t>
      </w:r>
    </w:p>
    <w:p w14:paraId="1509E2E9" w14:textId="623AE8C9" w:rsidR="0054696C" w:rsidRPr="00C263D2" w:rsidRDefault="00C263D2" w:rsidP="004872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VND 5,000,000 / </w:t>
      </w:r>
      <w:r w:rsidR="009628F6" w:rsidRPr="00C263D2">
        <w:rPr>
          <w:rFonts w:ascii="Arial" w:hAnsi="Arial"/>
          <w:color w:val="010000"/>
          <w:sz w:val="20"/>
        </w:rPr>
        <w:t xml:space="preserve">Member of the </w:t>
      </w:r>
      <w:r w:rsidRPr="00C263D2">
        <w:rPr>
          <w:rFonts w:ascii="Arial" w:hAnsi="Arial"/>
          <w:color w:val="010000"/>
          <w:sz w:val="20"/>
        </w:rPr>
        <w:t xml:space="preserve">Board </w:t>
      </w:r>
      <w:r w:rsidR="009628F6" w:rsidRPr="00C263D2">
        <w:rPr>
          <w:rFonts w:ascii="Arial" w:hAnsi="Arial"/>
          <w:color w:val="010000"/>
          <w:sz w:val="20"/>
        </w:rPr>
        <w:t>of Directors</w:t>
      </w:r>
      <w:r w:rsidRPr="00C263D2">
        <w:rPr>
          <w:rFonts w:ascii="Arial" w:hAnsi="Arial"/>
          <w:color w:val="010000"/>
          <w:sz w:val="20"/>
        </w:rPr>
        <w:t xml:space="preserve"> / month.</w:t>
      </w:r>
    </w:p>
    <w:p w14:paraId="3752CAC7" w14:textId="5DB87A39" w:rsidR="0054696C" w:rsidRPr="00C263D2" w:rsidRDefault="00C263D2" w:rsidP="004872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VND 3,000,000 / </w:t>
      </w:r>
      <w:r w:rsidR="009628F6" w:rsidRPr="00C263D2">
        <w:rPr>
          <w:rFonts w:ascii="Arial" w:hAnsi="Arial"/>
          <w:color w:val="010000"/>
          <w:sz w:val="20"/>
        </w:rPr>
        <w:t xml:space="preserve">Member of the Supervisory </w:t>
      </w:r>
      <w:r w:rsidRPr="00C263D2">
        <w:rPr>
          <w:rFonts w:ascii="Arial" w:hAnsi="Arial"/>
          <w:color w:val="010000"/>
          <w:sz w:val="20"/>
        </w:rPr>
        <w:t>Board / month.</w:t>
      </w:r>
    </w:p>
    <w:p w14:paraId="7E3A0EBA" w14:textId="0935C78F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Article 8: Approve the selection of an audit company for the Financial Statements 2024;</w:t>
      </w:r>
    </w:p>
    <w:p w14:paraId="1453FEFE" w14:textId="1D14FDB7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Authorize the Board of Directors of the Company to coordinate with the Supervisory Board to select an audit </w:t>
      </w:r>
      <w:r w:rsidR="009628F6" w:rsidRPr="00C263D2">
        <w:rPr>
          <w:rFonts w:ascii="Arial" w:hAnsi="Arial"/>
          <w:color w:val="010000"/>
          <w:sz w:val="20"/>
        </w:rPr>
        <w:t>company</w:t>
      </w:r>
      <w:r w:rsidRPr="00C263D2">
        <w:rPr>
          <w:rFonts w:ascii="Arial" w:hAnsi="Arial"/>
          <w:color w:val="010000"/>
          <w:sz w:val="20"/>
        </w:rPr>
        <w:t xml:space="preserve"> for the Financial Statements 2024 in accordance with current regulations.</w:t>
      </w:r>
    </w:p>
    <w:p w14:paraId="756A0ED7" w14:textId="495621AF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Article 9: Approve the investment plan to expand production and business as follows:</w:t>
      </w:r>
    </w:p>
    <w:p w14:paraId="00C853A2" w14:textId="0E9BED72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Authorize the Board of Directors of the Company to search, select and decide to invest directly or indirectly in </w:t>
      </w:r>
      <w:r w:rsidR="009628F6" w:rsidRPr="00C263D2">
        <w:rPr>
          <w:rFonts w:ascii="Arial" w:hAnsi="Arial"/>
          <w:color w:val="010000"/>
          <w:sz w:val="20"/>
        </w:rPr>
        <w:t>enterprises</w:t>
      </w:r>
      <w:r w:rsidRPr="00C263D2">
        <w:rPr>
          <w:rFonts w:ascii="Arial" w:hAnsi="Arial"/>
          <w:color w:val="010000"/>
          <w:sz w:val="20"/>
        </w:rPr>
        <w:t xml:space="preserve">, projects on logistics, </w:t>
      </w:r>
      <w:proofErr w:type="gramStart"/>
      <w:r w:rsidRPr="00C263D2">
        <w:rPr>
          <w:rFonts w:ascii="Arial" w:hAnsi="Arial"/>
          <w:color w:val="010000"/>
          <w:sz w:val="20"/>
        </w:rPr>
        <w:t>seaports,...</w:t>
      </w:r>
      <w:proofErr w:type="gramEnd"/>
      <w:r w:rsidRPr="00C263D2">
        <w:rPr>
          <w:rFonts w:ascii="Arial" w:hAnsi="Arial"/>
          <w:color w:val="010000"/>
          <w:sz w:val="20"/>
        </w:rPr>
        <w:t xml:space="preserve"> with a maximum investment equivalent to the Company's undistributed profit.</w:t>
      </w:r>
    </w:p>
    <w:p w14:paraId="203D1557" w14:textId="77777777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Article 10: Approve the policy of selling treasury shares as follows:</w:t>
      </w:r>
    </w:p>
    <w:p w14:paraId="626879E1" w14:textId="77777777" w:rsidR="0054696C" w:rsidRPr="00C263D2" w:rsidRDefault="00C263D2" w:rsidP="004872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2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Policy to sell all treasury shares held by the Company:</w:t>
      </w:r>
    </w:p>
    <w:p w14:paraId="5D1898D2" w14:textId="77777777" w:rsidR="0054696C" w:rsidRPr="00C263D2" w:rsidRDefault="00C263D2" w:rsidP="00487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Total number of treasury shares held: 352,200 shares</w:t>
      </w:r>
    </w:p>
    <w:p w14:paraId="13AB9DFD" w14:textId="77777777" w:rsidR="0054696C" w:rsidRPr="00C263D2" w:rsidRDefault="00C263D2" w:rsidP="00487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Numbers of treasury shares registered to sell: 352,200 shares</w:t>
      </w:r>
    </w:p>
    <w:p w14:paraId="39D8A364" w14:textId="77777777" w:rsidR="0054696C" w:rsidRPr="00C263D2" w:rsidRDefault="00C263D2" w:rsidP="00487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1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Purpose of selling treasury shares: Supplementing the Company's investment and working capital</w:t>
      </w:r>
    </w:p>
    <w:p w14:paraId="4700FACF" w14:textId="3FB569AF" w:rsidR="0054696C" w:rsidRPr="00C263D2" w:rsidRDefault="00C263D2" w:rsidP="004872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Authorize the Board of Directors of the Company with full authority to direct the implementation and </w:t>
      </w:r>
      <w:r w:rsidR="009628F6" w:rsidRPr="00C263D2">
        <w:rPr>
          <w:rFonts w:ascii="Arial" w:hAnsi="Arial"/>
          <w:color w:val="010000"/>
          <w:sz w:val="20"/>
        </w:rPr>
        <w:t>approve</w:t>
      </w:r>
      <w:r w:rsidRPr="00C263D2">
        <w:rPr>
          <w:rFonts w:ascii="Arial" w:hAnsi="Arial"/>
          <w:color w:val="010000"/>
          <w:sz w:val="20"/>
        </w:rPr>
        <w:t xml:space="preserve"> procedures related to the sale of treasury shares in accordance with current regulations.</w:t>
      </w:r>
    </w:p>
    <w:p w14:paraId="0BA2BBFB" w14:textId="0CD091D1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Article 11: Approve the </w:t>
      </w:r>
      <w:r w:rsidR="009628F6" w:rsidRPr="00C263D2">
        <w:rPr>
          <w:rFonts w:ascii="Arial" w:hAnsi="Arial"/>
          <w:color w:val="010000"/>
          <w:sz w:val="20"/>
        </w:rPr>
        <w:t>p</w:t>
      </w:r>
      <w:r w:rsidRPr="00C263D2">
        <w:rPr>
          <w:rFonts w:ascii="Arial" w:hAnsi="Arial"/>
          <w:color w:val="010000"/>
          <w:sz w:val="20"/>
        </w:rPr>
        <w:t>olicy to establish Subcommittees under the Board of Directors as follows:</w:t>
      </w:r>
    </w:p>
    <w:p w14:paraId="7D124B6B" w14:textId="77777777" w:rsidR="0054696C" w:rsidRPr="00C263D2" w:rsidRDefault="00C263D2" w:rsidP="004872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2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lastRenderedPageBreak/>
        <w:t>Policy of establishing Subcommittees under the Board of Directors according to law.</w:t>
      </w:r>
    </w:p>
    <w:p w14:paraId="41E453C3" w14:textId="732C77FE" w:rsidR="0054696C" w:rsidRPr="00C263D2" w:rsidRDefault="00C263D2" w:rsidP="004872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Authorize the Board of Directors of the Company, based on the actual </w:t>
      </w:r>
      <w:r w:rsidR="009628F6" w:rsidRPr="00C263D2">
        <w:rPr>
          <w:rFonts w:ascii="Arial" w:hAnsi="Arial"/>
          <w:color w:val="010000"/>
          <w:sz w:val="20"/>
        </w:rPr>
        <w:t>status</w:t>
      </w:r>
      <w:r w:rsidRPr="00C263D2">
        <w:rPr>
          <w:rFonts w:ascii="Arial" w:hAnsi="Arial"/>
          <w:color w:val="010000"/>
          <w:sz w:val="20"/>
        </w:rPr>
        <w:t xml:space="preserve"> and needs of the Company, to decide to specifically establish each assisting Subcommittee under the Board of Directors.</w:t>
      </w:r>
    </w:p>
    <w:p w14:paraId="6F6E3E79" w14:textId="1A63496B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Article 12: Approve the dismissal of Mr. Vu Duc Tuan from the position of </w:t>
      </w:r>
      <w:r w:rsidR="009628F6" w:rsidRPr="00C263D2">
        <w:rPr>
          <w:rFonts w:ascii="Arial" w:hAnsi="Arial"/>
          <w:color w:val="010000"/>
          <w:sz w:val="20"/>
        </w:rPr>
        <w:t>m</w:t>
      </w:r>
      <w:r w:rsidRPr="00C263D2">
        <w:rPr>
          <w:rFonts w:ascii="Arial" w:hAnsi="Arial"/>
          <w:color w:val="010000"/>
          <w:sz w:val="20"/>
        </w:rPr>
        <w:t>ember of the Board of Directors for the term 2022-2027.</w:t>
      </w:r>
    </w:p>
    <w:p w14:paraId="735F919A" w14:textId="5455658B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Article 13: Approve the dismissal of </w:t>
      </w:r>
      <w:r w:rsidR="009628F6" w:rsidRPr="00C263D2">
        <w:rPr>
          <w:rFonts w:ascii="Arial" w:hAnsi="Arial"/>
          <w:color w:val="010000"/>
          <w:sz w:val="20"/>
        </w:rPr>
        <w:t xml:space="preserve">Ms. Pham Thi Thanh Huong from </w:t>
      </w:r>
      <w:r w:rsidRPr="00C263D2">
        <w:rPr>
          <w:rFonts w:ascii="Arial" w:hAnsi="Arial"/>
          <w:color w:val="010000"/>
          <w:sz w:val="20"/>
        </w:rPr>
        <w:t>the position</w:t>
      </w:r>
      <w:r w:rsidR="009628F6" w:rsidRPr="00C263D2">
        <w:rPr>
          <w:rFonts w:ascii="Arial" w:hAnsi="Arial"/>
          <w:color w:val="010000"/>
          <w:sz w:val="20"/>
        </w:rPr>
        <w:t>s</w:t>
      </w:r>
      <w:r w:rsidRPr="00C263D2">
        <w:rPr>
          <w:rFonts w:ascii="Arial" w:hAnsi="Arial"/>
          <w:color w:val="010000"/>
          <w:sz w:val="20"/>
        </w:rPr>
        <w:t xml:space="preserve"> of Chief of the Supervisory Board and </w:t>
      </w:r>
      <w:r w:rsidR="009628F6" w:rsidRPr="00C263D2">
        <w:rPr>
          <w:rFonts w:ascii="Arial" w:hAnsi="Arial"/>
          <w:color w:val="010000"/>
          <w:sz w:val="20"/>
        </w:rPr>
        <w:t>m</w:t>
      </w:r>
      <w:r w:rsidRPr="00C263D2">
        <w:rPr>
          <w:rFonts w:ascii="Arial" w:hAnsi="Arial"/>
          <w:color w:val="010000"/>
          <w:sz w:val="20"/>
        </w:rPr>
        <w:t xml:space="preserve">ember of the Supervisory Board for the </w:t>
      </w:r>
      <w:r w:rsidR="009628F6" w:rsidRPr="00C263D2">
        <w:rPr>
          <w:rFonts w:ascii="Arial" w:hAnsi="Arial"/>
          <w:color w:val="010000"/>
          <w:sz w:val="20"/>
        </w:rPr>
        <w:t xml:space="preserve">term </w:t>
      </w:r>
      <w:r w:rsidRPr="00C263D2">
        <w:rPr>
          <w:rFonts w:ascii="Arial" w:hAnsi="Arial"/>
          <w:color w:val="010000"/>
          <w:sz w:val="20"/>
        </w:rPr>
        <w:t>2022-2027.</w:t>
      </w:r>
    </w:p>
    <w:p w14:paraId="3461C5A5" w14:textId="47A7527D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Article 14: Approve the dismissal of </w:t>
      </w:r>
      <w:r w:rsidR="009628F6" w:rsidRPr="00C263D2">
        <w:rPr>
          <w:rFonts w:ascii="Arial" w:hAnsi="Arial"/>
          <w:color w:val="010000"/>
          <w:sz w:val="20"/>
        </w:rPr>
        <w:t xml:space="preserve">Mr. Khuu Hoang Nam from </w:t>
      </w:r>
      <w:r w:rsidRPr="00C263D2">
        <w:rPr>
          <w:rFonts w:ascii="Arial" w:hAnsi="Arial"/>
          <w:color w:val="010000"/>
          <w:sz w:val="20"/>
        </w:rPr>
        <w:t xml:space="preserve">the position of </w:t>
      </w:r>
      <w:r w:rsidR="009628F6" w:rsidRPr="00C263D2">
        <w:rPr>
          <w:rFonts w:ascii="Arial" w:hAnsi="Arial"/>
          <w:color w:val="010000"/>
          <w:sz w:val="20"/>
        </w:rPr>
        <w:t>m</w:t>
      </w:r>
      <w:r w:rsidRPr="00C263D2">
        <w:rPr>
          <w:rFonts w:ascii="Arial" w:hAnsi="Arial"/>
          <w:color w:val="010000"/>
          <w:sz w:val="20"/>
        </w:rPr>
        <w:t xml:space="preserve">ember of the Supervisory Board for the </w:t>
      </w:r>
      <w:r w:rsidR="009628F6" w:rsidRPr="00C263D2">
        <w:rPr>
          <w:rFonts w:ascii="Arial" w:hAnsi="Arial"/>
          <w:color w:val="010000"/>
          <w:sz w:val="20"/>
        </w:rPr>
        <w:t xml:space="preserve">term </w:t>
      </w:r>
      <w:r w:rsidRPr="00C263D2">
        <w:rPr>
          <w:rFonts w:ascii="Arial" w:hAnsi="Arial"/>
          <w:color w:val="010000"/>
          <w:sz w:val="20"/>
        </w:rPr>
        <w:t>2022-2027.</w:t>
      </w:r>
    </w:p>
    <w:p w14:paraId="25E818CB" w14:textId="3068CDFC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Article 15: Approve the</w:t>
      </w:r>
      <w:r w:rsidR="009628F6" w:rsidRPr="00C263D2">
        <w:rPr>
          <w:rFonts w:ascii="Arial" w:hAnsi="Arial"/>
          <w:color w:val="010000"/>
          <w:sz w:val="20"/>
        </w:rPr>
        <w:t xml:space="preserve"> additional</w:t>
      </w:r>
      <w:r w:rsidRPr="00C263D2">
        <w:rPr>
          <w:rFonts w:ascii="Arial" w:hAnsi="Arial"/>
          <w:color w:val="010000"/>
          <w:sz w:val="20"/>
        </w:rPr>
        <w:t xml:space="preserve"> </w:t>
      </w:r>
      <w:r w:rsidR="009628F6" w:rsidRPr="00C263D2">
        <w:rPr>
          <w:rFonts w:ascii="Arial" w:hAnsi="Arial"/>
          <w:color w:val="010000"/>
          <w:sz w:val="20"/>
        </w:rPr>
        <w:t xml:space="preserve">election </w:t>
      </w:r>
      <w:r w:rsidRPr="00C263D2">
        <w:rPr>
          <w:rFonts w:ascii="Arial" w:hAnsi="Arial"/>
          <w:color w:val="010000"/>
          <w:sz w:val="20"/>
        </w:rPr>
        <w:t xml:space="preserve">results of member </w:t>
      </w:r>
      <w:r w:rsidR="009628F6" w:rsidRPr="00C263D2">
        <w:rPr>
          <w:rFonts w:ascii="Arial" w:hAnsi="Arial"/>
          <w:color w:val="010000"/>
          <w:sz w:val="20"/>
        </w:rPr>
        <w:t>of</w:t>
      </w:r>
      <w:r w:rsidRPr="00C263D2">
        <w:rPr>
          <w:rFonts w:ascii="Arial" w:hAnsi="Arial"/>
          <w:color w:val="010000"/>
          <w:sz w:val="20"/>
        </w:rPr>
        <w:t xml:space="preserve"> the Board of Directors and members of the Supervisory Board for the </w:t>
      </w:r>
      <w:r w:rsidR="009628F6" w:rsidRPr="00C263D2">
        <w:rPr>
          <w:rFonts w:ascii="Arial" w:hAnsi="Arial"/>
          <w:color w:val="010000"/>
          <w:sz w:val="20"/>
        </w:rPr>
        <w:t xml:space="preserve">term </w:t>
      </w:r>
      <w:r w:rsidRPr="00C263D2">
        <w:rPr>
          <w:rFonts w:ascii="Arial" w:hAnsi="Arial"/>
          <w:color w:val="010000"/>
          <w:sz w:val="20"/>
        </w:rPr>
        <w:t>2022-2027 as follows.</w:t>
      </w:r>
    </w:p>
    <w:p w14:paraId="540BF305" w14:textId="77777777" w:rsidR="0054696C" w:rsidRPr="00C263D2" w:rsidRDefault="00C263D2" w:rsidP="00487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2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The Board of Directors 01 member</w:t>
      </w:r>
    </w:p>
    <w:p w14:paraId="6976E766" w14:textId="77777777" w:rsidR="0054696C" w:rsidRPr="00C263D2" w:rsidRDefault="00C263D2" w:rsidP="004872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 Ms. Vu Thi Thu Viet</w:t>
      </w:r>
    </w:p>
    <w:p w14:paraId="11981311" w14:textId="3FB315F0" w:rsidR="0054696C" w:rsidRPr="00C263D2" w:rsidRDefault="00C263D2" w:rsidP="00487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The Supervisory Board; 03 member</w:t>
      </w:r>
      <w:r w:rsidR="009628F6" w:rsidRPr="00C263D2">
        <w:rPr>
          <w:rFonts w:ascii="Arial" w:hAnsi="Arial"/>
          <w:color w:val="010000"/>
          <w:sz w:val="20"/>
        </w:rPr>
        <w:t>s</w:t>
      </w:r>
    </w:p>
    <w:p w14:paraId="122032F1" w14:textId="77777777" w:rsidR="0054696C" w:rsidRPr="00C263D2" w:rsidRDefault="00C263D2" w:rsidP="004872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Ms. Ta Thu Huong</w:t>
      </w:r>
    </w:p>
    <w:p w14:paraId="784F1121" w14:textId="77777777" w:rsidR="0054696C" w:rsidRPr="00C263D2" w:rsidRDefault="00C263D2" w:rsidP="004872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Ms. Dang Thi Bich Ngoc</w:t>
      </w:r>
    </w:p>
    <w:p w14:paraId="0C510711" w14:textId="77777777" w:rsidR="0054696C" w:rsidRPr="00C263D2" w:rsidRDefault="00C263D2" w:rsidP="004872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1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>Mr. Dao The Hung</w:t>
      </w:r>
    </w:p>
    <w:p w14:paraId="1B88D631" w14:textId="4C2C3B2A" w:rsidR="0054696C" w:rsidRPr="00C263D2" w:rsidRDefault="00C263D2" w:rsidP="004872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Article 16: Approve the </w:t>
      </w:r>
      <w:r w:rsidR="009628F6" w:rsidRPr="00C263D2">
        <w:rPr>
          <w:rFonts w:ascii="Arial" w:hAnsi="Arial"/>
          <w:color w:val="010000"/>
          <w:sz w:val="20"/>
        </w:rPr>
        <w:t xml:space="preserve">General </w:t>
      </w:r>
      <w:r w:rsidRPr="00C263D2">
        <w:rPr>
          <w:rFonts w:ascii="Arial" w:hAnsi="Arial"/>
          <w:color w:val="010000"/>
          <w:sz w:val="20"/>
        </w:rPr>
        <w:t>Mandate:</w:t>
      </w:r>
    </w:p>
    <w:p w14:paraId="6B8DE66C" w14:textId="1BE08022" w:rsidR="0054696C" w:rsidRPr="00C263D2" w:rsidRDefault="00C263D2" w:rsidP="004872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1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The </w:t>
      </w:r>
      <w:r w:rsidR="009628F6" w:rsidRPr="00C263D2">
        <w:rPr>
          <w:rFonts w:ascii="Arial" w:hAnsi="Arial"/>
          <w:color w:val="010000"/>
          <w:sz w:val="20"/>
        </w:rPr>
        <w:t xml:space="preserve">General </w:t>
      </w:r>
      <w:r w:rsidRPr="00C263D2">
        <w:rPr>
          <w:rFonts w:ascii="Arial" w:hAnsi="Arial"/>
          <w:color w:val="010000"/>
          <w:sz w:val="20"/>
        </w:rPr>
        <w:t xml:space="preserve">Mandate </w:t>
      </w:r>
      <w:r w:rsidR="009628F6" w:rsidRPr="00C263D2">
        <w:rPr>
          <w:rFonts w:ascii="Arial" w:hAnsi="Arial"/>
          <w:color w:val="010000"/>
          <w:sz w:val="20"/>
        </w:rPr>
        <w:t>is</w:t>
      </w:r>
      <w:r w:rsidRPr="00C263D2">
        <w:rPr>
          <w:rFonts w:ascii="Arial" w:hAnsi="Arial"/>
          <w:color w:val="010000"/>
          <w:sz w:val="20"/>
        </w:rPr>
        <w:t xml:space="preserve"> approved at the Annual General Meeting of Shareholders 2024.</w:t>
      </w:r>
    </w:p>
    <w:p w14:paraId="3DCDA828" w14:textId="593962E1" w:rsidR="0054696C" w:rsidRPr="00C263D2" w:rsidRDefault="00C263D2" w:rsidP="004872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1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63D2">
        <w:rPr>
          <w:rFonts w:ascii="Arial" w:hAnsi="Arial"/>
          <w:color w:val="010000"/>
          <w:sz w:val="20"/>
        </w:rPr>
        <w:t xml:space="preserve">This </w:t>
      </w:r>
      <w:r w:rsidR="009628F6" w:rsidRPr="00C263D2">
        <w:rPr>
          <w:rFonts w:ascii="Arial" w:hAnsi="Arial"/>
          <w:color w:val="010000"/>
          <w:sz w:val="20"/>
        </w:rPr>
        <w:t xml:space="preserve">General </w:t>
      </w:r>
      <w:r w:rsidRPr="00C263D2">
        <w:rPr>
          <w:rFonts w:ascii="Arial" w:hAnsi="Arial"/>
          <w:color w:val="010000"/>
          <w:sz w:val="20"/>
        </w:rPr>
        <w:t xml:space="preserve">Mandate takes effect from the date of its signing. The Board of Directors of Hai Minh Corporation, the </w:t>
      </w:r>
      <w:r w:rsidR="009628F6" w:rsidRPr="00C263D2">
        <w:rPr>
          <w:rFonts w:ascii="Arial" w:hAnsi="Arial"/>
          <w:color w:val="010000"/>
          <w:sz w:val="20"/>
        </w:rPr>
        <w:t xml:space="preserve">Supervisory </w:t>
      </w:r>
      <w:r w:rsidRPr="00C263D2">
        <w:rPr>
          <w:rFonts w:ascii="Arial" w:hAnsi="Arial"/>
          <w:color w:val="010000"/>
          <w:sz w:val="20"/>
        </w:rPr>
        <w:t xml:space="preserve">Board, the Board of Management and related departments are responsible for implementing this </w:t>
      </w:r>
      <w:r w:rsidR="009628F6" w:rsidRPr="00C263D2">
        <w:rPr>
          <w:rFonts w:ascii="Arial" w:hAnsi="Arial"/>
          <w:color w:val="010000"/>
          <w:sz w:val="20"/>
        </w:rPr>
        <w:t xml:space="preserve">General Mandate </w:t>
      </w:r>
      <w:r w:rsidRPr="00C263D2">
        <w:rPr>
          <w:rFonts w:ascii="Arial" w:hAnsi="Arial"/>
          <w:color w:val="010000"/>
          <w:sz w:val="20"/>
        </w:rPr>
        <w:t xml:space="preserve">and </w:t>
      </w:r>
      <w:r w:rsidR="009628F6" w:rsidRPr="00C263D2">
        <w:rPr>
          <w:rFonts w:ascii="Arial" w:hAnsi="Arial"/>
          <w:color w:val="010000"/>
          <w:sz w:val="20"/>
        </w:rPr>
        <w:t>organizing the implementation</w:t>
      </w:r>
      <w:r w:rsidRPr="00C263D2">
        <w:rPr>
          <w:rFonts w:ascii="Arial" w:hAnsi="Arial"/>
          <w:color w:val="010000"/>
          <w:sz w:val="20"/>
        </w:rPr>
        <w:t xml:space="preserve"> according to the provisions of the Charter of Hai Minh Corporation.</w:t>
      </w:r>
      <w:r w:rsidR="009628F6" w:rsidRPr="00C263D2">
        <w:rPr>
          <w:rFonts w:ascii="Arial" w:hAnsi="Arial"/>
          <w:color w:val="010000"/>
          <w:sz w:val="20"/>
        </w:rPr>
        <w:t xml:space="preserve">  </w:t>
      </w:r>
      <w:bookmarkStart w:id="0" w:name="_GoBack"/>
      <w:bookmarkEnd w:id="0"/>
    </w:p>
    <w:sectPr w:rsidR="0054696C" w:rsidRPr="00C263D2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655398D6-F8BE-41F2-A69C-68534EB4651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C4E0BD0D-BC12-4149-B65B-2DFFEC75C8F1}"/>
    <w:embedItalic r:id="rId3" w:fontKey="{2E31831F-CDCD-419D-8D0E-0912211AA31E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8F49AD92-6F09-4C2A-A050-203208DBC508}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379841E7-150E-4B62-B553-63E28739E371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6726"/>
    <w:multiLevelType w:val="multilevel"/>
    <w:tmpl w:val="D0E2E7AA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F10FA7"/>
    <w:multiLevelType w:val="multilevel"/>
    <w:tmpl w:val="38102B4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FB4924"/>
    <w:multiLevelType w:val="multilevel"/>
    <w:tmpl w:val="5442F7E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896AAB"/>
    <w:multiLevelType w:val="multilevel"/>
    <w:tmpl w:val="D83ADEB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93032F6"/>
    <w:multiLevelType w:val="multilevel"/>
    <w:tmpl w:val="901050C8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04D01ED"/>
    <w:multiLevelType w:val="multilevel"/>
    <w:tmpl w:val="1F00B0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A94128"/>
    <w:multiLevelType w:val="multilevel"/>
    <w:tmpl w:val="BEB0D54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33C02EE"/>
    <w:multiLevelType w:val="multilevel"/>
    <w:tmpl w:val="34260F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6C"/>
    <w:rsid w:val="00406E8E"/>
    <w:rsid w:val="00487259"/>
    <w:rsid w:val="0054696C"/>
    <w:rsid w:val="00956F6F"/>
    <w:rsid w:val="009628F6"/>
    <w:rsid w:val="00C2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EDF17"/>
  <w15:docId w15:val="{ADA460AE-33C4-4110-ADEB-80168D23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BodyText">
    <w:name w:val="Body Text"/>
    <w:basedOn w:val="Normal"/>
    <w:link w:val="BodyTextChar"/>
    <w:qFormat/>
    <w:pPr>
      <w:spacing w:line="28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" w:eastAsia="Arial" w:hAnsi="Arial" w:cs="Arial"/>
      <w:sz w:val="38"/>
      <w:szCs w:val="38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ther0">
    <w:name w:val="Other"/>
    <w:basedOn w:val="Normal"/>
    <w:link w:val="Other"/>
    <w:pPr>
      <w:spacing w:line="28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nVltkr8TGbGvpfjDd67imNQGnA==">CgMxLjA4AHIhMXNFTXRKSUNJMVZRU2NkVjQyV2F2bzlzZGhHT1BLT0lI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Hoang Phuong Thao</cp:lastModifiedBy>
  <cp:revision>7</cp:revision>
  <dcterms:created xsi:type="dcterms:W3CDTF">2024-04-26T01:52:00Z</dcterms:created>
  <dcterms:modified xsi:type="dcterms:W3CDTF">2024-04-26T03:25:00Z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cf05ae73c26fdc8d8782b960e7c271a9b18e92af1ec9f9064a819a995f418da4</vt:lpwstr>
  </property>
</Properties>
</file>