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0C6B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824"/>
        </w:tabs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r w:rsidRPr="00F0731F">
        <w:rPr>
          <w:rFonts w:ascii="Arial" w:hAnsi="Arial" w:cs="Arial"/>
          <w:b/>
          <w:bCs/>
          <w:sz w:val="20"/>
        </w:rPr>
        <w:t>LM7:</w:t>
      </w:r>
      <w:r w:rsidRPr="00F0731F">
        <w:rPr>
          <w:rFonts w:ascii="Arial" w:hAnsi="Arial" w:cs="Arial"/>
          <w:b/>
          <w:sz w:val="20"/>
        </w:rPr>
        <w:t xml:space="preserve"> Annual General Mandate 2024</w:t>
      </w:r>
    </w:p>
    <w:p w14:paraId="04E65E1C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824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On April 22, 2024, </w:t>
      </w:r>
      <w:proofErr w:type="spellStart"/>
      <w:r w:rsidRPr="00F0731F">
        <w:rPr>
          <w:rFonts w:ascii="Arial" w:hAnsi="Arial" w:cs="Arial"/>
          <w:sz w:val="20"/>
        </w:rPr>
        <w:t>Lilama</w:t>
      </w:r>
      <w:proofErr w:type="spellEnd"/>
      <w:r w:rsidRPr="00F0731F">
        <w:rPr>
          <w:rFonts w:ascii="Arial" w:hAnsi="Arial" w:cs="Arial"/>
          <w:sz w:val="20"/>
        </w:rPr>
        <w:t xml:space="preserve"> 7 JSC announced General Mandate No. 03/LILAMA7/DHDCDTN/NQ as follows:</w:t>
      </w:r>
    </w:p>
    <w:p w14:paraId="14B507C1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Article 1: Approve the production, business and investment results in 2023 and orientation of production, business and investment tasks in 2024.</w:t>
      </w:r>
    </w:p>
    <w:p w14:paraId="7FF737B3" w14:textId="10556C00" w:rsidR="00502CF6" w:rsidRPr="00F0731F" w:rsidRDefault="000B0373" w:rsidP="000B0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bookmarkStart w:id="0" w:name="_heading=h.gjdgxs"/>
      <w:bookmarkEnd w:id="0"/>
      <w:r w:rsidRPr="00F0731F">
        <w:rPr>
          <w:rFonts w:ascii="Arial" w:hAnsi="Arial" w:cs="Arial"/>
          <w:sz w:val="20"/>
        </w:rPr>
        <w:t>Production, Business and Investment results in 2023; (Unit: Million VND</w:t>
      </w:r>
      <w:r w:rsidR="003B08A1" w:rsidRPr="00F0731F">
        <w:rPr>
          <w:rFonts w:ascii="Arial" w:hAnsi="Arial" w:cs="Arial"/>
          <w:sz w:val="20"/>
        </w:rPr>
        <w:t>)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1"/>
        <w:gridCol w:w="3319"/>
        <w:gridCol w:w="1049"/>
        <w:gridCol w:w="1211"/>
        <w:gridCol w:w="1501"/>
        <w:gridCol w:w="1389"/>
      </w:tblGrid>
      <w:tr w:rsidR="00502CF6" w:rsidRPr="00F0731F" w14:paraId="31F8BD3E" w14:textId="77777777" w:rsidTr="000B0373">
        <w:trPr>
          <w:tblHeader/>
        </w:trPr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20BDE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21DB5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Content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E9BBE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DA787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in 2023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4B53A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D4136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Results/Plan of 2023</w:t>
            </w:r>
          </w:p>
        </w:tc>
      </w:tr>
      <w:tr w:rsidR="00502CF6" w:rsidRPr="00F0731F" w14:paraId="7947A3DA" w14:textId="77777777" w:rsidTr="000B0373"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80CC2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253C8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Revenue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8FD5A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03E32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40,000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2EECB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26,248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3C319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65.62</w:t>
            </w:r>
          </w:p>
        </w:tc>
      </w:tr>
      <w:tr w:rsidR="00502CF6" w:rsidRPr="00F0731F" w14:paraId="52D274D4" w14:textId="77777777" w:rsidTr="000B0373"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65EA4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D9072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Profit before tax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F40B7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693D0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57437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(21,072)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C3BA6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  <w:tr w:rsidR="00502CF6" w:rsidRPr="00F0731F" w14:paraId="2672D4AD" w14:textId="77777777" w:rsidTr="000B0373"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D8D56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80FD2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Charter capital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7CCED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1893E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50,000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EEF7C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50,000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A49EF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100</w:t>
            </w:r>
          </w:p>
        </w:tc>
      </w:tr>
      <w:tr w:rsidR="00502CF6" w:rsidRPr="00F0731F" w14:paraId="4BA4CFEE" w14:textId="77777777" w:rsidTr="000B0373"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55C91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11365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 xml:space="preserve">Profit/charter capital 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5DF15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011CC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B9EDA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(42.10)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DE5D0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  <w:tr w:rsidR="00502CF6" w:rsidRPr="00F0731F" w14:paraId="0F7495A1" w14:textId="77777777" w:rsidTr="000B0373"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C9C26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33438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Profit/Revenue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B1892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E7561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DF722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(80.30)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2BE17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  <w:tr w:rsidR="00502CF6" w:rsidRPr="00F0731F" w14:paraId="0AF2C8DB" w14:textId="77777777" w:rsidTr="000B0373"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9CF25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09DDE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Payable to state budget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93C3A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C5055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2,000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6A3B8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1,988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79DBD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99.40</w:t>
            </w:r>
          </w:p>
        </w:tc>
      </w:tr>
      <w:tr w:rsidR="00502CF6" w:rsidRPr="00F0731F" w14:paraId="0CFEF908" w14:textId="77777777" w:rsidTr="000B0373"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102A9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7</w:t>
            </w:r>
            <w:r w:rsidRPr="00F0731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3DA83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Dividend payment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6AE78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41CE1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8BEED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57A26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  <w:tr w:rsidR="00502CF6" w:rsidRPr="00F0731F" w14:paraId="105C9570" w14:textId="77777777" w:rsidTr="000B0373">
        <w:tc>
          <w:tcPr>
            <w:tcW w:w="30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A45BA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5E0FC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Investment in fixed assets &amp; equipment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8F4E6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6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BED55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0AB52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D5925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33088440" w14:textId="77777777" w:rsidR="00502CF6" w:rsidRPr="00F0731F" w:rsidRDefault="000B0373" w:rsidP="000B0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Production, business and investment plan for 2024.</w:t>
      </w:r>
    </w:p>
    <w:p w14:paraId="68C6556D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Unit million VND</w:t>
      </w:r>
    </w:p>
    <w:tbl>
      <w:tblPr>
        <w:tblStyle w:val="a0"/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9"/>
        <w:gridCol w:w="2953"/>
        <w:gridCol w:w="1186"/>
        <w:gridCol w:w="1474"/>
        <w:gridCol w:w="1353"/>
        <w:gridCol w:w="1485"/>
      </w:tblGrid>
      <w:tr w:rsidR="000B0373" w:rsidRPr="00F0731F" w14:paraId="1E1C645E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C8300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E873C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Content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AEB2A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09435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69CFD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57B73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2024/Results of 2023</w:t>
            </w:r>
          </w:p>
        </w:tc>
      </w:tr>
      <w:tr w:rsidR="000B0373" w:rsidRPr="00F0731F" w14:paraId="2F451845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43329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F9309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Revenue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C9C0E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F9888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26,248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F66DA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40,000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D90FE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152.40</w:t>
            </w:r>
          </w:p>
        </w:tc>
      </w:tr>
      <w:tr w:rsidR="000B0373" w:rsidRPr="00F0731F" w14:paraId="7C6F300A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C0DDD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0A711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Profit before tax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A17B3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00AA2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(21,072)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8B497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8F45A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  <w:tr w:rsidR="000B0373" w:rsidRPr="00F0731F" w14:paraId="610CC66B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92E7E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D7043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Charter capital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C8E15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7A4F2D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50,000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3C5980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50,000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42498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100</w:t>
            </w:r>
          </w:p>
        </w:tc>
      </w:tr>
      <w:tr w:rsidR="000B0373" w:rsidRPr="00F0731F" w14:paraId="15FAE584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24DE0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6750C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Profit/charter capital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926A4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05433F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(42.10)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F1ACF8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855AD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  <w:tr w:rsidR="000B0373" w:rsidRPr="00F0731F" w14:paraId="20688BCF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43B2A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295EE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Profit/revenue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2A7A2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9D8A94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(80.30)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DA2A21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8F101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  <w:tr w:rsidR="000B0373" w:rsidRPr="00F0731F" w14:paraId="0A4444D7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C8550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7386D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Payable to state budget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0821D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074977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1,988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9A2694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2,000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C6FF7D" w14:textId="77777777" w:rsidR="00502CF6" w:rsidRPr="00F0731F" w:rsidRDefault="000B0373" w:rsidP="0005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100.06</w:t>
            </w:r>
          </w:p>
        </w:tc>
      </w:tr>
      <w:tr w:rsidR="000B0373" w:rsidRPr="00F0731F" w14:paraId="67D1BCFA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11AB3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lastRenderedPageBreak/>
              <w:t>7</w:t>
            </w:r>
            <w:r w:rsidRPr="00F0731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E174C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Dividend payment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48F6F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3830C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B55A6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5AF0B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  <w:tr w:rsidR="000B0373" w:rsidRPr="00F0731F" w14:paraId="4B602A9E" w14:textId="77777777" w:rsidTr="000B0373">
        <w:trPr>
          <w:jc w:val="right"/>
        </w:trPr>
        <w:tc>
          <w:tcPr>
            <w:tcW w:w="3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4B9F8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6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330C2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Investment in fixed assets &amp; equipment</w:t>
            </w:r>
          </w:p>
        </w:tc>
        <w:tc>
          <w:tcPr>
            <w:tcW w:w="6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660A6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Million VND</w:t>
            </w:r>
          </w:p>
        </w:tc>
        <w:tc>
          <w:tcPr>
            <w:tcW w:w="8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AA3A9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972BB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7407E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6951FF06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Article 2: Approve the Audited Financial Statements 2023.</w:t>
      </w:r>
    </w:p>
    <w:p w14:paraId="09B18544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Article 3: Approve the profit distribution plan for 2023:</w:t>
      </w:r>
    </w:p>
    <w:p w14:paraId="7A522D62" w14:textId="289629EF" w:rsidR="00502CF6" w:rsidRPr="00F0731F" w:rsidRDefault="000B0373" w:rsidP="000B03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Total charter capital:</w:t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  <w:t xml:space="preserve">VND 50,000 </w:t>
      </w:r>
      <w:r w:rsidR="00F766C4" w:rsidRPr="00F0731F">
        <w:rPr>
          <w:rFonts w:ascii="Arial" w:hAnsi="Arial" w:cs="Arial"/>
          <w:sz w:val="20"/>
        </w:rPr>
        <w:t>m</w:t>
      </w:r>
      <w:r w:rsidRPr="00F0731F">
        <w:rPr>
          <w:rFonts w:ascii="Arial" w:hAnsi="Arial" w:cs="Arial"/>
          <w:sz w:val="20"/>
        </w:rPr>
        <w:t xml:space="preserve">illion. </w:t>
      </w:r>
    </w:p>
    <w:p w14:paraId="3DA404D5" w14:textId="77777777" w:rsidR="00502CF6" w:rsidRPr="00F0731F" w:rsidRDefault="000B0373" w:rsidP="000B03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32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Dividend/charter capital of 2023:</w:t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  <w:t>0% per year</w:t>
      </w:r>
    </w:p>
    <w:p w14:paraId="585A3F83" w14:textId="03559FCD" w:rsidR="00502CF6" w:rsidRPr="00F0731F" w:rsidRDefault="000B0373" w:rsidP="000B03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32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Total expected dividend value in 2023:</w:t>
      </w:r>
      <w:r w:rsidRPr="00F0731F">
        <w:rPr>
          <w:rFonts w:ascii="Arial" w:hAnsi="Arial" w:cs="Arial"/>
          <w:sz w:val="20"/>
        </w:rPr>
        <w:tab/>
      </w:r>
      <w:r w:rsidRPr="00F0731F">
        <w:rPr>
          <w:rFonts w:ascii="Arial" w:hAnsi="Arial" w:cs="Arial"/>
          <w:sz w:val="20"/>
        </w:rPr>
        <w:tab/>
        <w:t xml:space="preserve">VND 0 </w:t>
      </w:r>
      <w:r w:rsidR="00F766C4" w:rsidRPr="00F0731F">
        <w:rPr>
          <w:rFonts w:ascii="Arial" w:hAnsi="Arial" w:cs="Arial"/>
          <w:sz w:val="20"/>
        </w:rPr>
        <w:t>m</w:t>
      </w:r>
      <w:r w:rsidRPr="00F0731F">
        <w:rPr>
          <w:rFonts w:ascii="Arial" w:hAnsi="Arial" w:cs="Arial"/>
          <w:sz w:val="20"/>
        </w:rPr>
        <w:t>illion.</w:t>
      </w:r>
    </w:p>
    <w:p w14:paraId="19436028" w14:textId="77777777" w:rsidR="00502CF6" w:rsidRPr="00F0731F" w:rsidRDefault="000B0373" w:rsidP="000B03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32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Draft dividend distribution plan for 2023.</w:t>
      </w:r>
    </w:p>
    <w:p w14:paraId="48CC90A8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Unit VND</w:t>
      </w:r>
    </w:p>
    <w:tbl>
      <w:tblPr>
        <w:tblStyle w:val="a1"/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6"/>
        <w:gridCol w:w="4413"/>
        <w:gridCol w:w="1998"/>
        <w:gridCol w:w="2033"/>
      </w:tblGrid>
      <w:tr w:rsidR="00502CF6" w:rsidRPr="00F0731F" w14:paraId="146A4E6F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D66AB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C9386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Content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86021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Calculation method</w:t>
            </w: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0A0B8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Expected</w:t>
            </w:r>
          </w:p>
        </w:tc>
      </w:tr>
      <w:tr w:rsidR="00502CF6" w:rsidRPr="00F0731F" w14:paraId="0FC67E79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4FB7D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4D745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Total profit before tax in 2023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74623A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E92F3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(21,072,850,469)</w:t>
            </w:r>
          </w:p>
        </w:tc>
      </w:tr>
      <w:tr w:rsidR="00502CF6" w:rsidRPr="00F0731F" w14:paraId="29D46830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EEA1B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BF382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Corporate income tax in 2023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D948D8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CC4DE1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2CF6" w:rsidRPr="00F0731F" w14:paraId="2222F9F7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ADBCC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30C34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Profit after tax in 2023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BFC36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(3)=(1-2)</w:t>
            </w: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B8D72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(21,072,850,469)</w:t>
            </w:r>
          </w:p>
        </w:tc>
      </w:tr>
      <w:tr w:rsidR="00502CF6" w:rsidRPr="00F0731F" w14:paraId="0F2A07CD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DC49C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082BD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Profit after tax of the previous year is transferred to 2023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86C64C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7240B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(55,738,798,914)</w:t>
            </w:r>
          </w:p>
        </w:tc>
      </w:tr>
      <w:tr w:rsidR="00502CF6" w:rsidRPr="00F0731F" w14:paraId="35712540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79E9F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5¬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12505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Total undistributed profit after tax: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A0499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(5=3+4)</w:t>
            </w: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33B34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(76,811,649,383)</w:t>
            </w:r>
          </w:p>
        </w:tc>
      </w:tr>
      <w:tr w:rsidR="00502CF6" w:rsidRPr="00F0731F" w14:paraId="78740314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AED12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9ABB4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Deductions from Distributed Profits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0E90A5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CFD03A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2CF6" w:rsidRPr="00F0731F" w14:paraId="28F2DE77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A7177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7</w:t>
            </w:r>
            <w:r w:rsidRPr="00F0731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3B299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Remaining profit to be distributed: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B729AB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C67E9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(76,811,649,383)</w:t>
            </w:r>
          </w:p>
        </w:tc>
      </w:tr>
      <w:tr w:rsidR="00502CF6" w:rsidRPr="00F0731F" w14:paraId="515CEF73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4D47E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CB7BF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Appropriation for funds: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5FD53F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84D14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</w:tr>
      <w:tr w:rsidR="00502CF6" w:rsidRPr="00F0731F" w14:paraId="64D364AE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5AEF2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94DBD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Dividend payment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C1D37E" w14:textId="77777777" w:rsidR="00502CF6" w:rsidRPr="00F0731F" w:rsidRDefault="00502CF6" w:rsidP="000B0373">
            <w:pP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DB583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</w:t>
            </w:r>
          </w:p>
        </w:tc>
      </w:tr>
      <w:tr w:rsidR="00502CF6" w:rsidRPr="00F0731F" w14:paraId="13ABE430" w14:textId="77777777" w:rsidTr="000B0373">
        <w:trPr>
          <w:jc w:val="right"/>
        </w:trPr>
        <w:tc>
          <w:tcPr>
            <w:tcW w:w="3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CA645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78447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Remaining profit transferred to the next year</w:t>
            </w:r>
          </w:p>
        </w:tc>
        <w:tc>
          <w:tcPr>
            <w:tcW w:w="11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E80B9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(10 = 7-8-9)</w:t>
            </w:r>
          </w:p>
        </w:tc>
        <w:tc>
          <w:tcPr>
            <w:tcW w:w="11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11385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(76,811,649,383)</w:t>
            </w:r>
          </w:p>
        </w:tc>
      </w:tr>
    </w:tbl>
    <w:p w14:paraId="445DB2D8" w14:textId="04F18613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Article 4. Approve the report of the Supervisory Board on the verification of the Audited Financial Statements 2023, the management and administration of the Company of the </w:t>
      </w:r>
      <w:r w:rsidR="000552D9">
        <w:rPr>
          <w:rFonts w:ascii="Arial" w:hAnsi="Arial" w:cs="Arial"/>
          <w:sz w:val="20"/>
        </w:rPr>
        <w:t>Executive Board</w:t>
      </w:r>
      <w:r w:rsidRPr="00F0731F">
        <w:rPr>
          <w:rFonts w:ascii="Arial" w:hAnsi="Arial" w:cs="Arial"/>
          <w:sz w:val="20"/>
        </w:rPr>
        <w:t xml:space="preserve"> and the Board of Directors in 2023.</w:t>
      </w:r>
    </w:p>
    <w:p w14:paraId="59A2E527" w14:textId="40B13821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Article 5: Approve the authorization of the General Meeting for the Board of Directors to select 01 audit company to audit the Company's Financial Statements 2024.</w:t>
      </w:r>
    </w:p>
    <w:p w14:paraId="593DFD75" w14:textId="7777777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Authorize the Board of Directors of </w:t>
      </w:r>
      <w:proofErr w:type="spellStart"/>
      <w:r w:rsidRPr="00F0731F">
        <w:rPr>
          <w:rFonts w:ascii="Arial" w:hAnsi="Arial" w:cs="Arial"/>
          <w:sz w:val="20"/>
        </w:rPr>
        <w:t>Lilama</w:t>
      </w:r>
      <w:proofErr w:type="spellEnd"/>
      <w:r w:rsidRPr="00F0731F">
        <w:rPr>
          <w:rFonts w:ascii="Arial" w:hAnsi="Arial" w:cs="Arial"/>
          <w:sz w:val="20"/>
        </w:rPr>
        <w:t xml:space="preserve"> 7 JSC to carry out procedures to sign the Audit contract in accordance with legal regulations.</w:t>
      </w:r>
    </w:p>
    <w:p w14:paraId="3A3147BF" w14:textId="221356F4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Article 6: Approve the salary report of 2023 of the Chair of the Board of Directors, salary of the Chief of the Supervisory Board, remuneration of concurrent member</w:t>
      </w:r>
      <w:r w:rsidR="000552D9">
        <w:rPr>
          <w:rFonts w:ascii="Arial" w:hAnsi="Arial" w:cs="Arial"/>
          <w:sz w:val="20"/>
        </w:rPr>
        <w:t xml:space="preserve">s of the Board of Directors, Supervisory Board &amp; </w:t>
      </w:r>
      <w:r w:rsidRPr="00F0731F">
        <w:rPr>
          <w:rFonts w:ascii="Arial" w:hAnsi="Arial" w:cs="Arial"/>
          <w:sz w:val="20"/>
        </w:rPr>
        <w:t xml:space="preserve">Secretariat of the Board of Directors &amp; the Salary plan for 2024 for the Chair of the Board of </w:t>
      </w:r>
      <w:r w:rsidRPr="00F0731F">
        <w:rPr>
          <w:rFonts w:ascii="Arial" w:hAnsi="Arial" w:cs="Arial"/>
          <w:sz w:val="20"/>
        </w:rPr>
        <w:lastRenderedPageBreak/>
        <w:t>Directors, salary of the Chief of the Supervisory Board, remuneration concurrent members of the Board of Directors,</w:t>
      </w:r>
      <w:r w:rsidR="000552D9">
        <w:rPr>
          <w:rFonts w:ascii="Arial" w:hAnsi="Arial" w:cs="Arial"/>
          <w:sz w:val="20"/>
        </w:rPr>
        <w:t xml:space="preserve"> the Supervisory Board and </w:t>
      </w:r>
      <w:r w:rsidRPr="00F0731F">
        <w:rPr>
          <w:rFonts w:ascii="Arial" w:hAnsi="Arial" w:cs="Arial"/>
          <w:sz w:val="20"/>
        </w:rPr>
        <w:t>Secretariat of the Board of Directors.</w:t>
      </w:r>
    </w:p>
    <w:p w14:paraId="0F9A46DA" w14:textId="77796787" w:rsidR="00502CF6" w:rsidRPr="00F0731F" w:rsidRDefault="000B0373" w:rsidP="000552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Remuneration of members </w:t>
      </w:r>
      <w:r w:rsidR="000552D9">
        <w:rPr>
          <w:rFonts w:ascii="Arial" w:hAnsi="Arial" w:cs="Arial"/>
          <w:sz w:val="20"/>
        </w:rPr>
        <w:t xml:space="preserve">of the Board of Directors &amp; </w:t>
      </w:r>
      <w:r w:rsidRPr="00F0731F">
        <w:rPr>
          <w:rFonts w:ascii="Arial" w:hAnsi="Arial" w:cs="Arial"/>
          <w:sz w:val="20"/>
        </w:rPr>
        <w:t xml:space="preserve">Supervisory Board - Salary of the Chair </w:t>
      </w:r>
      <w:r w:rsidR="000552D9">
        <w:rPr>
          <w:rFonts w:ascii="Arial" w:hAnsi="Arial" w:cs="Arial"/>
          <w:sz w:val="20"/>
        </w:rPr>
        <w:t xml:space="preserve">of the Board of Directors &amp; </w:t>
      </w:r>
      <w:r w:rsidRPr="00F0731F">
        <w:rPr>
          <w:rFonts w:ascii="Arial" w:hAnsi="Arial" w:cs="Arial"/>
          <w:sz w:val="20"/>
        </w:rPr>
        <w:t>Chief of the Supervisory Board in 2023</w:t>
      </w:r>
    </w:p>
    <w:p w14:paraId="2C9CD238" w14:textId="77777777" w:rsidR="00502CF6" w:rsidRPr="00F0731F" w:rsidRDefault="000B0373" w:rsidP="000552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Salary and Remuneration of the Board of Directors in 2023:</w:t>
      </w:r>
    </w:p>
    <w:tbl>
      <w:tblPr>
        <w:tblStyle w:val="a2"/>
        <w:tblW w:w="5000" w:type="pct"/>
        <w:jc w:val="right"/>
        <w:tblLook w:val="0400" w:firstRow="0" w:lastRow="0" w:firstColumn="0" w:lastColumn="0" w:noHBand="0" w:noVBand="1"/>
      </w:tblPr>
      <w:tblGrid>
        <w:gridCol w:w="332"/>
        <w:gridCol w:w="1598"/>
        <w:gridCol w:w="932"/>
        <w:gridCol w:w="910"/>
        <w:gridCol w:w="910"/>
        <w:gridCol w:w="1143"/>
        <w:gridCol w:w="1021"/>
        <w:gridCol w:w="1021"/>
        <w:gridCol w:w="1143"/>
      </w:tblGrid>
      <w:tr w:rsidR="00502CF6" w:rsidRPr="00F0731F" w14:paraId="66CD3057" w14:textId="77777777" w:rsidTr="000B0373">
        <w:trPr>
          <w:jc w:val="right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396A9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BAD7D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Participants: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F6C9F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AEDC6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Remuneration (VND/person/month)</w:t>
            </w:r>
          </w:p>
        </w:tc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4B176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Average salary (VND/person/month)</w:t>
            </w:r>
          </w:p>
        </w:tc>
      </w:tr>
      <w:tr w:rsidR="000B0373" w:rsidRPr="00F0731F" w14:paraId="27AAEFC2" w14:textId="77777777" w:rsidTr="000B0373">
        <w:trPr>
          <w:jc w:val="right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C471B7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4B59D6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C25737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987EB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432DD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4283B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Results/Plan</w:t>
            </w:r>
          </w:p>
          <w:p w14:paraId="59C50CED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8DD88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B7C91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AA7DD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Results/Plan</w:t>
            </w:r>
          </w:p>
        </w:tc>
      </w:tr>
      <w:tr w:rsidR="000B0373" w:rsidRPr="00F0731F" w14:paraId="61D54A0B" w14:textId="77777777" w:rsidTr="000B0373">
        <w:trPr>
          <w:jc w:val="right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BCBDF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D0A5E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Chair of the Board of Directors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7A5A8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Chair of the Board of Directors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F0AAD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D5D45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40D5B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53B6D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13,353,600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99CBB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13,353,600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2815B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100</w:t>
            </w:r>
          </w:p>
        </w:tc>
      </w:tr>
      <w:tr w:rsidR="000B0373" w:rsidRPr="00F0731F" w14:paraId="1E8C613A" w14:textId="77777777" w:rsidTr="000B0373">
        <w:trPr>
          <w:jc w:val="right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8675E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667DC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Concurrent members of the Board of Directors (04 persons)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F3369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Member of the Board of Directors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824B1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3,120,000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88BF4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3,075,000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1FBB1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98.55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5A7F7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D98F1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5427E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0A7AB568" w14:textId="77777777" w:rsidR="00502CF6" w:rsidRPr="00F0731F" w:rsidRDefault="000B0373" w:rsidP="000B03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Salary of Chief of the Supervisory Board and Remuneration of members of the Supervisory Board and the Secretariat of the Board of Directors in 2023</w:t>
      </w:r>
    </w:p>
    <w:tbl>
      <w:tblPr>
        <w:tblStyle w:val="a3"/>
        <w:tblW w:w="5000" w:type="pct"/>
        <w:tblLook w:val="0400" w:firstRow="0" w:lastRow="0" w:firstColumn="0" w:lastColumn="0" w:noHBand="0" w:noVBand="1"/>
      </w:tblPr>
      <w:tblGrid>
        <w:gridCol w:w="332"/>
        <w:gridCol w:w="1311"/>
        <w:gridCol w:w="1076"/>
        <w:gridCol w:w="940"/>
        <w:gridCol w:w="1002"/>
        <w:gridCol w:w="1143"/>
        <w:gridCol w:w="1042"/>
        <w:gridCol w:w="1021"/>
        <w:gridCol w:w="1143"/>
      </w:tblGrid>
      <w:tr w:rsidR="00502CF6" w:rsidRPr="00F0731F" w14:paraId="3B4577ED" w14:textId="77777777" w:rsidTr="000B0373">
        <w:trPr>
          <w:tblHeader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8E074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B95CD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Participants: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2AC91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7076C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Remuneration (VND/person/month)</w:t>
            </w:r>
          </w:p>
        </w:tc>
        <w:tc>
          <w:tcPr>
            <w:tcW w:w="170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8995D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Average salary (VND/person/month)</w:t>
            </w:r>
          </w:p>
        </w:tc>
      </w:tr>
      <w:tr w:rsidR="000B0373" w:rsidRPr="00F0731F" w14:paraId="22E5C3B1" w14:textId="77777777" w:rsidTr="000B0373"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168261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94C7C9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1504D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324B2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78EA7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C7708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Results/Plan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35E08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F4BA2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96025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Results/Plan</w:t>
            </w:r>
          </w:p>
        </w:tc>
      </w:tr>
      <w:tr w:rsidR="000B0373" w:rsidRPr="00F0731F" w14:paraId="76D8C1E6" w14:textId="77777777" w:rsidTr="000B0373">
        <w:tc>
          <w:tcPr>
            <w:tcW w:w="1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91145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C76DC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Pham Van Tao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CA7ED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Truong</w:t>
            </w:r>
          </w:p>
          <w:p w14:paraId="6372113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Chief of the Supervisory Board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0B73E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692CB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E6631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74630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10,400,000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084FD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10,430,000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ED04A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100.28</w:t>
            </w:r>
          </w:p>
        </w:tc>
      </w:tr>
      <w:tr w:rsidR="000B0373" w:rsidRPr="00F0731F" w14:paraId="1B666FA6" w14:textId="77777777" w:rsidTr="000B0373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93941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A4C97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 xml:space="preserve">02 members of the Supervisory Board &amp; 01 secretariat of the Board of Directors (03 </w:t>
            </w:r>
            <w:r w:rsidRPr="00F0731F">
              <w:rPr>
                <w:rFonts w:ascii="Arial" w:hAnsi="Arial" w:cs="Arial"/>
                <w:sz w:val="20"/>
              </w:rPr>
              <w:lastRenderedPageBreak/>
              <w:t>persons)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D199F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lastRenderedPageBreak/>
              <w:t xml:space="preserve">Member of the Supervisory Board &amp; Secretariat of the Board of </w:t>
            </w:r>
            <w:r w:rsidRPr="00F0731F">
              <w:rPr>
                <w:rFonts w:ascii="Arial" w:hAnsi="Arial" w:cs="Arial"/>
                <w:sz w:val="20"/>
              </w:rPr>
              <w:lastRenderedPageBreak/>
              <w:t>Directors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0D953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lastRenderedPageBreak/>
              <w:t>2,329,600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22470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2,295,800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0CC96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98.55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96CAF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•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F5EE3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C1084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43D5E91A" w14:textId="77777777" w:rsidR="00502CF6" w:rsidRPr="00F0731F" w:rsidRDefault="000B0373" w:rsidP="00055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lastRenderedPageBreak/>
        <w:t>Total salary of the Board of Directors &amp; the Supervisory Board in 2023 is: VND 285,403,200/year</w:t>
      </w:r>
    </w:p>
    <w:p w14:paraId="005C7453" w14:textId="77777777" w:rsidR="00502CF6" w:rsidRPr="00F0731F" w:rsidRDefault="000B0373" w:rsidP="00055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Total remuneration of the Board of Directors &amp; the Supervisory Board in 2023 is: VND 230,248,800/year</w:t>
      </w:r>
    </w:p>
    <w:p w14:paraId="75E73A83" w14:textId="77777777" w:rsidR="00502CF6" w:rsidRPr="00F0731F" w:rsidRDefault="000B0373" w:rsidP="000552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83"/>
        </w:tabs>
        <w:spacing w:after="120" w:line="360" w:lineRule="auto"/>
        <w:jc w:val="both"/>
        <w:rPr>
          <w:rFonts w:ascii="Arial" w:hAnsi="Arial" w:cs="Arial"/>
          <w:sz w:val="20"/>
        </w:rPr>
      </w:pPr>
      <w:r w:rsidRPr="00F0731F">
        <w:rPr>
          <w:rFonts w:ascii="Arial" w:hAnsi="Arial" w:cs="Arial"/>
          <w:sz w:val="20"/>
        </w:rPr>
        <w:t>Salary plan for the Chair of the Board of Directors, salary for the Chief of the Supervisory Board and remuneration for concurrent members in 2024 specifically:</w:t>
      </w:r>
    </w:p>
    <w:p w14:paraId="42BCB3CB" w14:textId="741D4DF4" w:rsidR="00502CF6" w:rsidRPr="00F0731F" w:rsidRDefault="000B0373" w:rsidP="000552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</w:rPr>
      </w:pPr>
      <w:r w:rsidRPr="00F0731F">
        <w:rPr>
          <w:rFonts w:ascii="Arial" w:hAnsi="Arial" w:cs="Arial"/>
          <w:sz w:val="20"/>
        </w:rPr>
        <w:t xml:space="preserve">Salary of Chair </w:t>
      </w:r>
      <w:r w:rsidR="000552D9">
        <w:rPr>
          <w:rFonts w:ascii="Arial" w:hAnsi="Arial" w:cs="Arial"/>
          <w:sz w:val="20"/>
        </w:rPr>
        <w:t xml:space="preserve">of the Board of Directors &amp; </w:t>
      </w:r>
      <w:bookmarkStart w:id="1" w:name="_GoBack"/>
      <w:bookmarkEnd w:id="1"/>
      <w:r w:rsidRPr="00F0731F">
        <w:rPr>
          <w:rFonts w:ascii="Arial" w:hAnsi="Arial" w:cs="Arial"/>
          <w:sz w:val="20"/>
        </w:rPr>
        <w:t>Chief of the Supervisory Board in 2024.</w:t>
      </w:r>
    </w:p>
    <w:p w14:paraId="5C4A52E1" w14:textId="77777777" w:rsidR="00502CF6" w:rsidRPr="00F0731F" w:rsidRDefault="000B0373" w:rsidP="000552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143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Salary of the Chair of the Board of Directors in 2024 is proposed to remain the same as the base salary approved at the Annual General Meeting 2023.</w:t>
      </w:r>
    </w:p>
    <w:p w14:paraId="2A5A5D4D" w14:textId="5FC1059B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143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ab/>
        <w:t>Basic coefficient of the Chair X regional minimum salary</w:t>
      </w:r>
      <w:r w:rsidR="00F766C4" w:rsidRPr="00F0731F">
        <w:rPr>
          <w:rFonts w:ascii="Arial" w:hAnsi="Arial" w:cs="Arial"/>
          <w:sz w:val="20"/>
        </w:rPr>
        <w:t xml:space="preserve"> </w:t>
      </w:r>
      <w:r w:rsidRPr="00F0731F">
        <w:rPr>
          <w:rFonts w:ascii="Arial" w:hAnsi="Arial" w:cs="Arial"/>
          <w:sz w:val="20"/>
        </w:rPr>
        <w:t>= (3.21 X 4,160,000) = VND 13,353,600/month.</w:t>
      </w:r>
    </w:p>
    <w:p w14:paraId="67BA2B76" w14:textId="77777777" w:rsidR="00502CF6" w:rsidRPr="00F0731F" w:rsidRDefault="000B0373" w:rsidP="000552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143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Salary of the Chief of the Supervisory Board in 2024 is proposed to remain the same as the basic salary approved at the Annual General Meeting 2023.</w:t>
      </w:r>
    </w:p>
    <w:p w14:paraId="6C223B8F" w14:textId="3E355F8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37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ab/>
        <w:t>Basic coefficient of the Chief of the Supervisory Board X regional minimum salary</w:t>
      </w:r>
      <w:r w:rsidR="00F766C4" w:rsidRPr="00F0731F">
        <w:rPr>
          <w:rFonts w:ascii="Arial" w:hAnsi="Arial" w:cs="Arial"/>
          <w:sz w:val="20"/>
        </w:rPr>
        <w:t xml:space="preserve"> </w:t>
      </w:r>
      <w:r w:rsidRPr="00F0731F">
        <w:rPr>
          <w:rFonts w:ascii="Arial" w:hAnsi="Arial" w:cs="Arial"/>
          <w:sz w:val="20"/>
        </w:rPr>
        <w:t>= (2.5 X 4,160,000) = VND 10,400,000/month</w:t>
      </w:r>
    </w:p>
    <w:p w14:paraId="7853DA27" w14:textId="77777777" w:rsidR="00502CF6" w:rsidRPr="00F0731F" w:rsidRDefault="000B0373" w:rsidP="000552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94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</w:rPr>
      </w:pPr>
      <w:r w:rsidRPr="00F0731F">
        <w:rPr>
          <w:rFonts w:ascii="Arial" w:hAnsi="Arial" w:cs="Arial"/>
          <w:sz w:val="20"/>
        </w:rPr>
        <w:t>Remuneration for members of the Board of Directors, members of the Supervisory Board, and the secretariat of the Board of Directors in 2024.</w:t>
      </w:r>
    </w:p>
    <w:p w14:paraId="43E4F816" w14:textId="7777777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Monthly remuneration for each position, it is proposed to maintain the coefficient and basic salary in 2023 approved by the Annual General Meeting 2023.</w:t>
      </w:r>
    </w:p>
    <w:p w14:paraId="420E4FD0" w14:textId="157E1E56" w:rsidR="00502CF6" w:rsidRPr="00F0731F" w:rsidRDefault="00F766C4" w:rsidP="000552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1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C</w:t>
      </w:r>
      <w:r w:rsidR="000B0373" w:rsidRPr="00F0731F">
        <w:rPr>
          <w:rFonts w:ascii="Arial" w:hAnsi="Arial" w:cs="Arial"/>
          <w:sz w:val="20"/>
        </w:rPr>
        <w:t xml:space="preserve">oefficient </w:t>
      </w:r>
      <w:r w:rsidRPr="00F0731F">
        <w:rPr>
          <w:rFonts w:ascii="Arial" w:hAnsi="Arial" w:cs="Arial"/>
          <w:sz w:val="20"/>
        </w:rPr>
        <w:t>of members of the Board of Directors</w:t>
      </w:r>
      <w:r w:rsidR="000B0373" w:rsidRPr="00F0731F">
        <w:rPr>
          <w:rFonts w:ascii="Arial" w:hAnsi="Arial" w:cs="Arial"/>
          <w:sz w:val="20"/>
        </w:rPr>
        <w:t>= 0.75 X Regional minimum salary.</w:t>
      </w:r>
    </w:p>
    <w:p w14:paraId="3A18C703" w14:textId="6B0F59C3" w:rsidR="00502CF6" w:rsidRPr="00F0731F" w:rsidRDefault="00F766C4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= </w:t>
      </w:r>
      <w:r w:rsidR="000B0373" w:rsidRPr="00F0731F">
        <w:rPr>
          <w:rFonts w:ascii="Arial" w:hAnsi="Arial" w:cs="Arial"/>
          <w:sz w:val="20"/>
        </w:rPr>
        <w:t>0</w:t>
      </w:r>
      <w:r w:rsidRPr="00F0731F">
        <w:rPr>
          <w:rFonts w:ascii="Arial" w:hAnsi="Arial" w:cs="Arial"/>
          <w:sz w:val="20"/>
        </w:rPr>
        <w:t>.</w:t>
      </w:r>
      <w:r w:rsidR="000B0373" w:rsidRPr="00F0731F">
        <w:rPr>
          <w:rFonts w:ascii="Arial" w:hAnsi="Arial" w:cs="Arial"/>
          <w:sz w:val="20"/>
        </w:rPr>
        <w:t>75x4,160,000</w:t>
      </w:r>
    </w:p>
    <w:p w14:paraId="63979FDF" w14:textId="062D49E3" w:rsidR="00502CF6" w:rsidRPr="00F0731F" w:rsidRDefault="00F766C4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= </w:t>
      </w:r>
      <w:r w:rsidR="000B0373" w:rsidRPr="00F0731F">
        <w:rPr>
          <w:rFonts w:ascii="Arial" w:hAnsi="Arial" w:cs="Arial"/>
          <w:sz w:val="20"/>
        </w:rPr>
        <w:t>VND 3,120,000/person/month;</w:t>
      </w:r>
    </w:p>
    <w:p w14:paraId="4ADD096D" w14:textId="77777777" w:rsidR="00502CF6" w:rsidRPr="00F0731F" w:rsidRDefault="000B0373" w:rsidP="000552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71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Member of the Supervisory Board &amp; the Secretariat of the Board of Directors with the coefficient of</w:t>
      </w:r>
    </w:p>
    <w:p w14:paraId="1CBF6527" w14:textId="7777777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= 0.56 X Regional minimum Salary.</w:t>
      </w:r>
    </w:p>
    <w:p w14:paraId="759858BD" w14:textId="7777777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= 0.56x4,160,000</w:t>
      </w:r>
    </w:p>
    <w:p w14:paraId="7091471D" w14:textId="27D57199" w:rsidR="00502CF6" w:rsidRPr="00F0731F" w:rsidRDefault="00F766C4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= </w:t>
      </w:r>
      <w:r w:rsidR="000B0373" w:rsidRPr="00F0731F">
        <w:rPr>
          <w:rFonts w:ascii="Arial" w:hAnsi="Arial" w:cs="Arial"/>
          <w:sz w:val="20"/>
        </w:rPr>
        <w:t>VND 2,329,600/person/month;</w:t>
      </w:r>
    </w:p>
    <w:p w14:paraId="10621880" w14:textId="77777777" w:rsidR="00502CF6" w:rsidRPr="00F0731F" w:rsidRDefault="000B0373" w:rsidP="000552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</w:rPr>
      </w:pPr>
      <w:r w:rsidRPr="00F0731F">
        <w:rPr>
          <w:rFonts w:ascii="Arial" w:hAnsi="Arial" w:cs="Arial"/>
          <w:sz w:val="20"/>
        </w:rPr>
        <w:t xml:space="preserve">Summary table of salary and remuneration plans for the Board of Directors &amp; the Supervisory </w:t>
      </w:r>
      <w:r w:rsidRPr="00F0731F">
        <w:rPr>
          <w:rFonts w:ascii="Arial" w:hAnsi="Arial" w:cs="Arial"/>
          <w:sz w:val="20"/>
        </w:rPr>
        <w:lastRenderedPageBreak/>
        <w:t>Board expected in 2024.</w:t>
      </w:r>
    </w:p>
    <w:p w14:paraId="1E52AECF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The Board of Directors.</w:t>
      </w:r>
    </w:p>
    <w:tbl>
      <w:tblPr>
        <w:tblStyle w:val="a4"/>
        <w:tblW w:w="5000" w:type="pct"/>
        <w:jc w:val="right"/>
        <w:tblLook w:val="0400" w:firstRow="0" w:lastRow="0" w:firstColumn="0" w:lastColumn="0" w:noHBand="0" w:noVBand="1"/>
      </w:tblPr>
      <w:tblGrid>
        <w:gridCol w:w="332"/>
        <w:gridCol w:w="1586"/>
        <w:gridCol w:w="854"/>
        <w:gridCol w:w="910"/>
        <w:gridCol w:w="910"/>
        <w:gridCol w:w="1188"/>
        <w:gridCol w:w="1021"/>
        <w:gridCol w:w="1021"/>
        <w:gridCol w:w="1188"/>
      </w:tblGrid>
      <w:tr w:rsidR="00502CF6" w:rsidRPr="00F0731F" w14:paraId="1E69DC9A" w14:textId="77777777" w:rsidTr="000B0373">
        <w:trPr>
          <w:jc w:val="right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08F98A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5A01C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Participants: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02A5DB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1614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A17A6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Remuneration (VND/person/month)</w:t>
            </w:r>
          </w:p>
        </w:tc>
        <w:tc>
          <w:tcPr>
            <w:tcW w:w="177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E0C17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Average salary (VND/person/month)</w:t>
            </w:r>
          </w:p>
        </w:tc>
      </w:tr>
      <w:tr w:rsidR="000B0373" w:rsidRPr="00F0731F" w14:paraId="22DEA7CB" w14:textId="77777777" w:rsidTr="000B0373">
        <w:trPr>
          <w:jc w:val="right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40BD89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B41672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CDFFE9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DF681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A8D0A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5AA85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2024/Results of 2023</w:t>
            </w:r>
          </w:p>
          <w:p w14:paraId="20F9A2A5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E169E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A7EA0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CAE49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2024/Results of 2023</w:t>
            </w:r>
          </w:p>
          <w:p w14:paraId="57B055F6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373" w:rsidRPr="00F0731F" w14:paraId="109D38BA" w14:textId="77777777" w:rsidTr="000B0373">
        <w:trPr>
          <w:jc w:val="right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D7E00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BA38B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Chair of the Board of Directors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1FC6D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1AE1B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52269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A0158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6784C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13,353,600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5CEBB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13,353,600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CB418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100</w:t>
            </w:r>
          </w:p>
        </w:tc>
      </w:tr>
      <w:tr w:rsidR="000B0373" w:rsidRPr="00F0731F" w14:paraId="3375DADE" w14:textId="77777777" w:rsidTr="000B0373">
        <w:trPr>
          <w:jc w:val="right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95EDE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D4439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Concurrent members of the Board of Directors (04 persons)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32E95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Members of the Board of Directors</w:t>
            </w:r>
          </w:p>
          <w:p w14:paraId="422E08B1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104B9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3,075,000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3098C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3,120,000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62CC1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101.46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3D2DA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0C6310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413407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4B5A46E5" w14:textId="77777777" w:rsidR="00502CF6" w:rsidRPr="00F0731F" w:rsidRDefault="000B0373" w:rsidP="000B037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The Supervisory Board </w:t>
      </w:r>
    </w:p>
    <w:tbl>
      <w:tblPr>
        <w:tblStyle w:val="a5"/>
        <w:tblW w:w="5000" w:type="pct"/>
        <w:jc w:val="right"/>
        <w:tblLook w:val="0400" w:firstRow="0" w:lastRow="0" w:firstColumn="0" w:lastColumn="0" w:noHBand="0" w:noVBand="1"/>
      </w:tblPr>
      <w:tblGrid>
        <w:gridCol w:w="332"/>
        <w:gridCol w:w="1260"/>
        <w:gridCol w:w="1076"/>
        <w:gridCol w:w="910"/>
        <w:gridCol w:w="1014"/>
        <w:gridCol w:w="1188"/>
        <w:gridCol w:w="1021"/>
        <w:gridCol w:w="1021"/>
        <w:gridCol w:w="1188"/>
      </w:tblGrid>
      <w:tr w:rsidR="00502CF6" w:rsidRPr="00F0731F" w14:paraId="4B9B60AF" w14:textId="77777777" w:rsidTr="000B0373">
        <w:trPr>
          <w:jc w:val="right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5EADA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38160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Participants: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B15C1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1743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26A08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Remuneration (VND/person/month)</w:t>
            </w:r>
          </w:p>
        </w:tc>
        <w:tc>
          <w:tcPr>
            <w:tcW w:w="17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E8D0B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Average salary (VND/person/month)</w:t>
            </w:r>
          </w:p>
        </w:tc>
      </w:tr>
      <w:tr w:rsidR="000B0373" w:rsidRPr="00F0731F" w14:paraId="0FE4F501" w14:textId="77777777" w:rsidTr="000B0373">
        <w:trPr>
          <w:jc w:val="right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D8E481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C2F4EA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3A9CDC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A0747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A1038C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11F78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2024/Results of 2023</w:t>
            </w:r>
          </w:p>
          <w:p w14:paraId="20522F45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EC1E2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Results of 2023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4D2E21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EFAD2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Plan for 2024/Results of 2023</w:t>
            </w:r>
          </w:p>
          <w:p w14:paraId="00D1E904" w14:textId="77777777" w:rsidR="00502CF6" w:rsidRPr="00F0731F" w:rsidRDefault="00502CF6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0373" w:rsidRPr="00F0731F" w14:paraId="052652F4" w14:textId="77777777" w:rsidTr="000B0373">
        <w:trPr>
          <w:jc w:val="right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97E3D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0C37C3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Chief of the Supervisory Board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C3F9AD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Chief of the Supervisory Board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4E206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3E4FA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83CA04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E99BF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10,430,000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1172D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10,400,000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6FF56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93.71</w:t>
            </w:r>
          </w:p>
        </w:tc>
      </w:tr>
      <w:tr w:rsidR="000B0373" w:rsidRPr="00F0731F" w14:paraId="0196FF65" w14:textId="77777777" w:rsidTr="000B0373">
        <w:trPr>
          <w:jc w:val="right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4908B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E06FE2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02 members of the Supervisory Board &amp; 01 secretariat of the Board of Directors (03 persons)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31004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Member of the Supervisory Board &amp; Secretariat of the Board of Directors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E56396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2,295,800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2A549F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2,329,600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FD3D85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101.47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2DBE0E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E0F568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336AD9" w14:textId="77777777" w:rsidR="00502CF6" w:rsidRPr="00F0731F" w:rsidRDefault="000B0373" w:rsidP="000B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731F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18D08323" w14:textId="77777777" w:rsidR="00502CF6" w:rsidRPr="00F0731F" w:rsidRDefault="000B0373" w:rsidP="000552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Expected total salary of the Board of Directors &amp; the Supervisory Board in 2024 is: VND </w:t>
      </w:r>
      <w:r w:rsidRPr="00F0731F">
        <w:rPr>
          <w:rFonts w:ascii="Arial" w:hAnsi="Arial" w:cs="Arial"/>
          <w:sz w:val="20"/>
        </w:rPr>
        <w:lastRenderedPageBreak/>
        <w:t xml:space="preserve">285,043,200/year </w:t>
      </w:r>
    </w:p>
    <w:p w14:paraId="12438719" w14:textId="77777777" w:rsidR="00502CF6" w:rsidRPr="00F0731F" w:rsidRDefault="000B0373" w:rsidP="000552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Expected total remuneration of the Board of Directors &amp; the Supervisory Board in 2024 is: VND 233,625,600/year</w:t>
      </w:r>
    </w:p>
    <w:p w14:paraId="43A27D98" w14:textId="7777777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Article 7: Approve the dismissal of Mr. Vo Duy Chinh from the position of member of the Board of Directors for the term of 2022-2027.</w:t>
      </w:r>
    </w:p>
    <w:p w14:paraId="4BB9188E" w14:textId="7777777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Article 8: Approve the amendments to the Charter of </w:t>
      </w:r>
      <w:proofErr w:type="spellStart"/>
      <w:r w:rsidRPr="00F0731F">
        <w:rPr>
          <w:rFonts w:ascii="Arial" w:hAnsi="Arial" w:cs="Arial"/>
          <w:sz w:val="20"/>
        </w:rPr>
        <w:t>Lilama</w:t>
      </w:r>
      <w:proofErr w:type="spellEnd"/>
      <w:r w:rsidRPr="00F0731F">
        <w:rPr>
          <w:rFonts w:ascii="Arial" w:hAnsi="Arial" w:cs="Arial"/>
          <w:sz w:val="20"/>
        </w:rPr>
        <w:t xml:space="preserve"> 7 JSC at the Annual General Meeting of Shareholders 2024.</w:t>
      </w:r>
    </w:p>
    <w:p w14:paraId="16EFEA23" w14:textId="7777777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 xml:space="preserve">Article 9: Approve the amendments to the Board of Directors' Operating Regulations &amp; internal regulations on corporate governance of </w:t>
      </w:r>
      <w:proofErr w:type="spellStart"/>
      <w:r w:rsidRPr="00F0731F">
        <w:rPr>
          <w:rFonts w:ascii="Arial" w:hAnsi="Arial" w:cs="Arial"/>
          <w:sz w:val="20"/>
        </w:rPr>
        <w:t>Lilama</w:t>
      </w:r>
      <w:proofErr w:type="spellEnd"/>
      <w:r w:rsidRPr="00F0731F">
        <w:rPr>
          <w:rFonts w:ascii="Arial" w:hAnsi="Arial" w:cs="Arial"/>
          <w:sz w:val="20"/>
        </w:rPr>
        <w:t xml:space="preserve"> 7 JSC at the Annual General Meeting of Shareholders 2024.</w:t>
      </w:r>
    </w:p>
    <w:p w14:paraId="0CF5FF6F" w14:textId="77777777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Article 10: Terms of enforcement</w:t>
      </w:r>
    </w:p>
    <w:p w14:paraId="5454FA13" w14:textId="7B7CD2C2" w:rsidR="00502CF6" w:rsidRPr="00F0731F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Members of the Board of D</w:t>
      </w:r>
      <w:r w:rsidR="000552D9">
        <w:rPr>
          <w:rFonts w:ascii="Arial" w:hAnsi="Arial" w:cs="Arial"/>
          <w:sz w:val="20"/>
        </w:rPr>
        <w:t>irectors, Supervisory Board and</w:t>
      </w:r>
      <w:r w:rsidRPr="00F0731F">
        <w:rPr>
          <w:rFonts w:ascii="Arial" w:hAnsi="Arial" w:cs="Arial"/>
          <w:sz w:val="20"/>
        </w:rPr>
        <w:t xml:space="preserve"> </w:t>
      </w:r>
      <w:r w:rsidR="000552D9">
        <w:rPr>
          <w:rFonts w:ascii="Arial" w:hAnsi="Arial" w:cs="Arial"/>
          <w:sz w:val="20"/>
        </w:rPr>
        <w:t>Executive Board</w:t>
      </w:r>
      <w:r w:rsidRPr="00F0731F">
        <w:rPr>
          <w:rFonts w:ascii="Arial" w:hAnsi="Arial" w:cs="Arial"/>
          <w:sz w:val="20"/>
        </w:rPr>
        <w:t xml:space="preserve"> and shareholders of </w:t>
      </w:r>
      <w:proofErr w:type="spellStart"/>
      <w:r w:rsidRPr="00F0731F">
        <w:rPr>
          <w:rFonts w:ascii="Arial" w:hAnsi="Arial" w:cs="Arial"/>
          <w:sz w:val="20"/>
        </w:rPr>
        <w:t>Lilama</w:t>
      </w:r>
      <w:proofErr w:type="spellEnd"/>
      <w:r w:rsidRPr="00F0731F">
        <w:rPr>
          <w:rFonts w:ascii="Arial" w:hAnsi="Arial" w:cs="Arial"/>
          <w:sz w:val="20"/>
        </w:rPr>
        <w:t xml:space="preserve"> 7 JSC are responsible for the implementation of this General Mandate </w:t>
      </w:r>
      <w:r w:rsidR="000552D9">
        <w:rPr>
          <w:rFonts w:ascii="Arial" w:hAnsi="Arial" w:cs="Arial"/>
          <w:sz w:val="20"/>
        </w:rPr>
        <w:t>under applicable laws.</w:t>
      </w:r>
    </w:p>
    <w:p w14:paraId="5B0A7FF2" w14:textId="77777777" w:rsidR="00502CF6" w:rsidRPr="000B0373" w:rsidRDefault="000B0373" w:rsidP="000552D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0731F">
        <w:rPr>
          <w:rFonts w:ascii="Arial" w:hAnsi="Arial" w:cs="Arial"/>
          <w:sz w:val="20"/>
        </w:rPr>
        <w:t>This General Mandate takes effect from the date of its signing.</w:t>
      </w:r>
    </w:p>
    <w:sectPr w:rsidR="00502CF6" w:rsidRPr="000B0373" w:rsidSect="000B0373">
      <w:pgSz w:w="11900" w:h="16840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49CD"/>
    <w:multiLevelType w:val="multilevel"/>
    <w:tmpl w:val="9412E55E"/>
    <w:lvl w:ilvl="0">
      <w:start w:val="1"/>
      <w:numFmt w:val="bullet"/>
      <w:lvlText w:val="−"/>
      <w:lvlJc w:val="left"/>
      <w:pPr>
        <w:ind w:left="264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B37E48"/>
    <w:multiLevelType w:val="multilevel"/>
    <w:tmpl w:val="9BC20C82"/>
    <w:lvl w:ilvl="0">
      <w:start w:val="1"/>
      <w:numFmt w:val="decimal"/>
      <w:lvlText w:val="%1."/>
      <w:lvlJc w:val="left"/>
      <w:pPr>
        <w:ind w:left="2860" w:hanging="360"/>
      </w:pPr>
      <w:rPr>
        <w:b w:val="0"/>
        <w:i w:val="0"/>
        <w:sz w:val="20"/>
        <w:u w:val="none"/>
      </w:rPr>
    </w:lvl>
    <w:lvl w:ilvl="1">
      <w:start w:val="1"/>
      <w:numFmt w:val="decimal"/>
      <w:lvlText w:val="%1.%2."/>
      <w:lvlJc w:val="left"/>
      <w:pPr>
        <w:ind w:left="2860" w:hanging="36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322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32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35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39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39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4300" w:hanging="1800"/>
      </w:pPr>
      <w:rPr>
        <w:i/>
      </w:rPr>
    </w:lvl>
  </w:abstractNum>
  <w:abstractNum w:abstractNumId="2" w15:restartNumberingAfterBreak="0">
    <w:nsid w:val="4A056DC6"/>
    <w:multiLevelType w:val="multilevel"/>
    <w:tmpl w:val="4B9E8442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E315D"/>
    <w:multiLevelType w:val="multilevel"/>
    <w:tmpl w:val="A22E26A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405B88"/>
    <w:multiLevelType w:val="multilevel"/>
    <w:tmpl w:val="9032525C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5" w15:restartNumberingAfterBreak="0">
    <w:nsid w:val="716B6D53"/>
    <w:multiLevelType w:val="multilevel"/>
    <w:tmpl w:val="BBB6ED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EC289D"/>
    <w:multiLevelType w:val="multilevel"/>
    <w:tmpl w:val="801AD2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1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F6"/>
    <w:rsid w:val="000552D9"/>
    <w:rsid w:val="000B0373"/>
    <w:rsid w:val="003B08A1"/>
    <w:rsid w:val="00502CF6"/>
    <w:rsid w:val="00F0731F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E930D"/>
  <w15:docId w15:val="{DE082472-F80D-43BF-B32E-2D2FD5AE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after="80" w:line="254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after="100"/>
      <w:ind w:left="208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80" w:line="254" w:lineRule="auto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spacing w:after="40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40">
    <w:name w:val="Body text (4)"/>
    <w:basedOn w:val="Normal"/>
    <w:link w:val="Bodytext4"/>
    <w:pPr>
      <w:spacing w:after="180"/>
      <w:ind w:left="200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A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0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01"/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E90UNivrf14VrJ3ldu6/HgXrw==">CgMxLjAyCGguZ2pkZ3hzOAByITFSRnR0dVU0Z3NtZE93MG11M281azJabmJPVkdoeUxFaw==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2024-04-26T04:53:00Z</dcterms:created>
  <dcterms:modified xsi:type="dcterms:W3CDTF">2024-04-26T04:53:00Z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65332c0675b8d4087bcf81166c553f29d8021910e0fa4bff09db16fc232835a1</vt:lpwstr>
  </property>
</Properties>
</file>