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248F3" w14:textId="77777777" w:rsidR="00C456B0" w:rsidRPr="00B4426F" w:rsidRDefault="00B50025" w:rsidP="00B50025">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B4426F">
        <w:rPr>
          <w:rFonts w:ascii="Arial" w:hAnsi="Arial" w:cs="Arial"/>
          <w:b/>
          <w:bCs/>
          <w:color w:val="010000"/>
          <w:sz w:val="20"/>
        </w:rPr>
        <w:t>LPB123016:</w:t>
      </w:r>
      <w:r w:rsidRPr="00B4426F">
        <w:rPr>
          <w:rFonts w:ascii="Arial" w:hAnsi="Arial" w:cs="Arial"/>
          <w:b/>
          <w:color w:val="010000"/>
          <w:sz w:val="20"/>
        </w:rPr>
        <w:t xml:space="preserve"> Board Resolution</w:t>
      </w:r>
    </w:p>
    <w:p w14:paraId="77E57973" w14:textId="7E5E83BE" w:rsidR="00C456B0" w:rsidRPr="00B4426F" w:rsidRDefault="00B50025" w:rsidP="009F2ED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4426F">
        <w:rPr>
          <w:rFonts w:ascii="Arial" w:hAnsi="Arial" w:cs="Arial"/>
          <w:color w:val="010000"/>
          <w:sz w:val="20"/>
        </w:rPr>
        <w:t xml:space="preserve">On April 23, 2024, </w:t>
      </w:r>
      <w:proofErr w:type="spellStart"/>
      <w:r w:rsidRPr="00B4426F">
        <w:rPr>
          <w:rFonts w:ascii="Arial" w:hAnsi="Arial" w:cs="Arial"/>
          <w:color w:val="010000"/>
          <w:sz w:val="20"/>
        </w:rPr>
        <w:t>LienViet</w:t>
      </w:r>
      <w:proofErr w:type="spellEnd"/>
      <w:r w:rsidRPr="00B4426F">
        <w:rPr>
          <w:rFonts w:ascii="Arial" w:hAnsi="Arial" w:cs="Arial"/>
          <w:color w:val="010000"/>
          <w:sz w:val="20"/>
        </w:rPr>
        <w:t xml:space="preserve"> Post Joint Stock Commercial Bank </w:t>
      </w:r>
      <w:proofErr w:type="gramStart"/>
      <w:r w:rsidRPr="00B4426F">
        <w:rPr>
          <w:rFonts w:ascii="Arial" w:hAnsi="Arial" w:cs="Arial"/>
          <w:color w:val="010000"/>
          <w:sz w:val="20"/>
        </w:rPr>
        <w:t>announced</w:t>
      </w:r>
      <w:proofErr w:type="gramEnd"/>
      <w:r w:rsidRPr="00B4426F">
        <w:rPr>
          <w:rFonts w:ascii="Arial" w:hAnsi="Arial" w:cs="Arial"/>
          <w:color w:val="010000"/>
          <w:sz w:val="20"/>
        </w:rPr>
        <w:t xml:space="preserve"> Resolution No. 1148/2024/NQ-HDQT on approving </w:t>
      </w:r>
      <w:r w:rsidR="006D62E1" w:rsidRPr="00B4426F">
        <w:rPr>
          <w:rFonts w:ascii="Arial" w:hAnsi="Arial" w:cs="Arial"/>
          <w:color w:val="010000"/>
          <w:sz w:val="20"/>
        </w:rPr>
        <w:t xml:space="preserve">the </w:t>
      </w:r>
      <w:r w:rsidRPr="00B4426F">
        <w:rPr>
          <w:rFonts w:ascii="Arial" w:hAnsi="Arial" w:cs="Arial"/>
          <w:color w:val="010000"/>
          <w:sz w:val="20"/>
        </w:rPr>
        <w:t>implementation of</w:t>
      </w:r>
      <w:r w:rsidR="006D62E1" w:rsidRPr="00B4426F">
        <w:rPr>
          <w:rFonts w:ascii="Arial" w:hAnsi="Arial" w:cs="Arial"/>
          <w:color w:val="010000"/>
          <w:sz w:val="20"/>
        </w:rPr>
        <w:t xml:space="preserve"> </w:t>
      </w:r>
      <w:r w:rsidR="00020079" w:rsidRPr="00B4426F">
        <w:rPr>
          <w:rFonts w:ascii="Arial" w:hAnsi="Arial" w:cs="Arial"/>
          <w:color w:val="010000"/>
          <w:sz w:val="20"/>
        </w:rPr>
        <w:t xml:space="preserve">the </w:t>
      </w:r>
      <w:r w:rsidR="006D62E1" w:rsidRPr="00B4426F">
        <w:rPr>
          <w:rFonts w:ascii="Arial" w:hAnsi="Arial" w:cs="Arial"/>
          <w:color w:val="010000"/>
          <w:sz w:val="20"/>
        </w:rPr>
        <w:t>plan</w:t>
      </w:r>
      <w:r w:rsidRPr="00B4426F">
        <w:rPr>
          <w:rFonts w:ascii="Arial" w:hAnsi="Arial" w:cs="Arial"/>
          <w:color w:val="010000"/>
          <w:sz w:val="20"/>
        </w:rPr>
        <w:t xml:space="preserve"> </w:t>
      </w:r>
      <w:r w:rsidR="00020079" w:rsidRPr="00B4426F">
        <w:rPr>
          <w:rFonts w:ascii="Arial" w:hAnsi="Arial" w:cs="Arial"/>
          <w:color w:val="010000"/>
          <w:sz w:val="20"/>
        </w:rPr>
        <w:t xml:space="preserve">on </w:t>
      </w:r>
      <w:r w:rsidRPr="00B4426F">
        <w:rPr>
          <w:rFonts w:ascii="Arial" w:hAnsi="Arial" w:cs="Arial"/>
          <w:color w:val="010000"/>
          <w:sz w:val="20"/>
        </w:rPr>
        <w:t xml:space="preserve">increasing charter capital 2024 of </w:t>
      </w:r>
      <w:proofErr w:type="spellStart"/>
      <w:r w:rsidRPr="00B4426F">
        <w:rPr>
          <w:rFonts w:ascii="Arial" w:hAnsi="Arial" w:cs="Arial"/>
          <w:color w:val="010000"/>
          <w:sz w:val="20"/>
        </w:rPr>
        <w:t>LPBank</w:t>
      </w:r>
      <w:proofErr w:type="spellEnd"/>
      <w:r w:rsidRPr="00B4426F">
        <w:rPr>
          <w:rFonts w:ascii="Arial" w:hAnsi="Arial" w:cs="Arial"/>
          <w:color w:val="010000"/>
          <w:sz w:val="20"/>
        </w:rPr>
        <w:t xml:space="preserve"> as follows:</w:t>
      </w:r>
    </w:p>
    <w:p w14:paraId="3971358D" w14:textId="19229C1A" w:rsidR="00C456B0" w:rsidRPr="00B4426F" w:rsidRDefault="00B50025" w:rsidP="009F2ED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4426F">
        <w:rPr>
          <w:rFonts w:ascii="Arial" w:hAnsi="Arial" w:cs="Arial"/>
          <w:color w:val="010000"/>
          <w:sz w:val="20"/>
        </w:rPr>
        <w:t xml:space="preserve">‎‎Article 1. Approve </w:t>
      </w:r>
      <w:r w:rsidR="00020079" w:rsidRPr="00B4426F">
        <w:rPr>
          <w:rFonts w:ascii="Arial" w:hAnsi="Arial" w:cs="Arial"/>
          <w:color w:val="010000"/>
          <w:sz w:val="20"/>
        </w:rPr>
        <w:t xml:space="preserve">the </w:t>
      </w:r>
      <w:r w:rsidRPr="00B4426F">
        <w:rPr>
          <w:rFonts w:ascii="Arial" w:hAnsi="Arial" w:cs="Arial"/>
          <w:color w:val="010000"/>
          <w:sz w:val="20"/>
        </w:rPr>
        <w:t xml:space="preserve">implementation of </w:t>
      </w:r>
      <w:r w:rsidR="000A2AD1" w:rsidRPr="00B4426F">
        <w:rPr>
          <w:rFonts w:ascii="Arial" w:hAnsi="Arial" w:cs="Arial"/>
          <w:color w:val="010000"/>
          <w:sz w:val="20"/>
        </w:rPr>
        <w:t xml:space="preserve">the share offering to </w:t>
      </w:r>
      <w:r w:rsidRPr="00B4426F">
        <w:rPr>
          <w:rFonts w:ascii="Arial" w:hAnsi="Arial" w:cs="Arial"/>
          <w:color w:val="010000"/>
          <w:sz w:val="20"/>
        </w:rPr>
        <w:t xml:space="preserve">existing shareholders to increase charter capital in accordance with </w:t>
      </w:r>
      <w:r w:rsidR="000A2AD1" w:rsidRPr="00B4426F">
        <w:rPr>
          <w:rFonts w:ascii="Arial" w:hAnsi="Arial" w:cs="Arial"/>
          <w:color w:val="010000"/>
          <w:sz w:val="20"/>
        </w:rPr>
        <w:t xml:space="preserve">the plan on </w:t>
      </w:r>
      <w:r w:rsidRPr="00B4426F">
        <w:rPr>
          <w:rFonts w:ascii="Arial" w:hAnsi="Arial" w:cs="Arial"/>
          <w:color w:val="010000"/>
          <w:sz w:val="20"/>
        </w:rPr>
        <w:t>increasing charter capital 2024, which was approved by the Annual General Meeting of Shareholders 2024 as follows:</w:t>
      </w:r>
    </w:p>
    <w:tbl>
      <w:tblPr>
        <w:tblStyle w:val="a"/>
        <w:tblW w:w="5000" w:type="pct"/>
        <w:tblBorders>
          <w:top w:val="nil"/>
          <w:left w:val="nil"/>
          <w:bottom w:val="nil"/>
          <w:right w:val="nil"/>
          <w:insideH w:val="nil"/>
          <w:insideV w:val="nil"/>
        </w:tblBorders>
        <w:tblLook w:val="0400" w:firstRow="0" w:lastRow="0" w:firstColumn="0" w:lastColumn="0" w:noHBand="0" w:noVBand="1"/>
      </w:tblPr>
      <w:tblGrid>
        <w:gridCol w:w="4497"/>
        <w:gridCol w:w="735"/>
        <w:gridCol w:w="3795"/>
      </w:tblGrid>
      <w:tr w:rsidR="00C456B0" w:rsidRPr="00B4426F" w14:paraId="49A59A20" w14:textId="77777777" w:rsidTr="00B50025">
        <w:tc>
          <w:tcPr>
            <w:tcW w:w="2491" w:type="pct"/>
            <w:shd w:val="clear" w:color="auto" w:fill="auto"/>
            <w:vAlign w:val="center"/>
          </w:tcPr>
          <w:p w14:paraId="472036F7" w14:textId="77777777" w:rsidR="00C456B0" w:rsidRPr="00B4426F" w:rsidRDefault="00B50025" w:rsidP="00B50025">
            <w:pPr>
              <w:numPr>
                <w:ilvl w:val="0"/>
                <w:numId w:val="3"/>
              </w:numPr>
              <w:pBdr>
                <w:top w:val="nil"/>
                <w:left w:val="nil"/>
                <w:bottom w:val="nil"/>
                <w:right w:val="nil"/>
                <w:between w:val="nil"/>
              </w:pBdr>
              <w:tabs>
                <w:tab w:val="left" w:pos="432"/>
                <w:tab w:val="left" w:pos="878"/>
              </w:tabs>
              <w:spacing w:after="120" w:line="360" w:lineRule="auto"/>
              <w:ind w:left="0" w:firstLine="0"/>
              <w:rPr>
                <w:rFonts w:ascii="Arial" w:eastAsia="Arial" w:hAnsi="Arial" w:cs="Arial"/>
                <w:color w:val="010000"/>
                <w:sz w:val="20"/>
                <w:szCs w:val="20"/>
              </w:rPr>
            </w:pPr>
            <w:r w:rsidRPr="00B4426F">
              <w:rPr>
                <w:rFonts w:ascii="Arial" w:hAnsi="Arial" w:cs="Arial"/>
                <w:color w:val="010000"/>
                <w:sz w:val="20"/>
              </w:rPr>
              <w:t>Current charter capital</w:t>
            </w:r>
          </w:p>
        </w:tc>
        <w:tc>
          <w:tcPr>
            <w:tcW w:w="407" w:type="pct"/>
            <w:shd w:val="clear" w:color="auto" w:fill="auto"/>
            <w:vAlign w:val="center"/>
          </w:tcPr>
          <w:p w14:paraId="39E98C47" w14:textId="77777777" w:rsidR="00C456B0" w:rsidRPr="00B4426F" w:rsidRDefault="00B50025" w:rsidP="00B50025">
            <w:pPr>
              <w:pBdr>
                <w:top w:val="nil"/>
                <w:left w:val="nil"/>
                <w:bottom w:val="nil"/>
                <w:right w:val="nil"/>
                <w:between w:val="nil"/>
              </w:pBdr>
              <w:tabs>
                <w:tab w:val="left" w:pos="432"/>
                <w:tab w:val="left" w:pos="812"/>
              </w:tabs>
              <w:spacing w:after="120" w:line="360" w:lineRule="auto"/>
              <w:jc w:val="center"/>
              <w:rPr>
                <w:rFonts w:ascii="Arial" w:eastAsia="Arial" w:hAnsi="Arial" w:cs="Arial"/>
                <w:color w:val="010000"/>
                <w:sz w:val="20"/>
                <w:szCs w:val="20"/>
              </w:rPr>
            </w:pPr>
            <w:r w:rsidRPr="00B4426F">
              <w:rPr>
                <w:rFonts w:ascii="Arial" w:hAnsi="Arial" w:cs="Arial"/>
                <w:color w:val="010000"/>
                <w:sz w:val="20"/>
              </w:rPr>
              <w:t>:</w:t>
            </w:r>
          </w:p>
        </w:tc>
        <w:tc>
          <w:tcPr>
            <w:tcW w:w="2102" w:type="pct"/>
            <w:shd w:val="clear" w:color="auto" w:fill="auto"/>
            <w:vAlign w:val="center"/>
          </w:tcPr>
          <w:p w14:paraId="4FB764DF" w14:textId="77777777" w:rsidR="00C456B0" w:rsidRPr="00B4426F" w:rsidRDefault="00B50025" w:rsidP="00B50025">
            <w:pPr>
              <w:pBdr>
                <w:top w:val="nil"/>
                <w:left w:val="nil"/>
                <w:bottom w:val="nil"/>
                <w:right w:val="nil"/>
                <w:between w:val="nil"/>
              </w:pBdr>
              <w:tabs>
                <w:tab w:val="left" w:pos="432"/>
                <w:tab w:val="left" w:pos="812"/>
              </w:tabs>
              <w:spacing w:after="120" w:line="360" w:lineRule="auto"/>
              <w:rPr>
                <w:rFonts w:ascii="Arial" w:eastAsia="Arial" w:hAnsi="Arial" w:cs="Arial"/>
                <w:color w:val="010000"/>
                <w:sz w:val="20"/>
                <w:szCs w:val="20"/>
              </w:rPr>
            </w:pPr>
            <w:r w:rsidRPr="00B4426F">
              <w:rPr>
                <w:rFonts w:ascii="Arial" w:hAnsi="Arial" w:cs="Arial"/>
                <w:color w:val="010000"/>
                <w:sz w:val="20"/>
              </w:rPr>
              <w:t>VND 25,576,164,160,000</w:t>
            </w:r>
          </w:p>
        </w:tc>
      </w:tr>
      <w:tr w:rsidR="00C456B0" w:rsidRPr="00B4426F" w14:paraId="49F9DBB0" w14:textId="77777777" w:rsidTr="00B50025">
        <w:tc>
          <w:tcPr>
            <w:tcW w:w="2491" w:type="pct"/>
            <w:shd w:val="clear" w:color="auto" w:fill="auto"/>
            <w:vAlign w:val="center"/>
          </w:tcPr>
          <w:p w14:paraId="711692AA" w14:textId="04CAE58A" w:rsidR="00C456B0" w:rsidRPr="00B4426F" w:rsidRDefault="00B50025" w:rsidP="00B50025">
            <w:pPr>
              <w:numPr>
                <w:ilvl w:val="0"/>
                <w:numId w:val="1"/>
              </w:numPr>
              <w:pBdr>
                <w:top w:val="nil"/>
                <w:left w:val="nil"/>
                <w:bottom w:val="nil"/>
                <w:right w:val="nil"/>
                <w:between w:val="nil"/>
              </w:pBdr>
              <w:tabs>
                <w:tab w:val="left" w:pos="432"/>
                <w:tab w:val="left" w:pos="812"/>
              </w:tabs>
              <w:spacing w:after="120" w:line="360" w:lineRule="auto"/>
              <w:ind w:left="0" w:firstLine="0"/>
              <w:rPr>
                <w:rFonts w:ascii="Arial" w:eastAsia="Arial" w:hAnsi="Arial" w:cs="Arial"/>
                <w:color w:val="010000"/>
                <w:sz w:val="20"/>
                <w:szCs w:val="20"/>
              </w:rPr>
            </w:pPr>
            <w:r w:rsidRPr="00B4426F">
              <w:rPr>
                <w:rFonts w:ascii="Arial" w:hAnsi="Arial" w:cs="Arial"/>
                <w:color w:val="010000"/>
                <w:sz w:val="20"/>
              </w:rPr>
              <w:t xml:space="preserve">Total shares </w:t>
            </w:r>
          </w:p>
        </w:tc>
        <w:tc>
          <w:tcPr>
            <w:tcW w:w="407" w:type="pct"/>
            <w:shd w:val="clear" w:color="auto" w:fill="auto"/>
            <w:vAlign w:val="center"/>
          </w:tcPr>
          <w:p w14:paraId="0A058A2F" w14:textId="77777777" w:rsidR="00C456B0" w:rsidRPr="00B4426F" w:rsidRDefault="00B50025" w:rsidP="00B50025">
            <w:pPr>
              <w:pBdr>
                <w:top w:val="nil"/>
                <w:left w:val="nil"/>
                <w:bottom w:val="nil"/>
                <w:right w:val="nil"/>
                <w:between w:val="nil"/>
              </w:pBdr>
              <w:tabs>
                <w:tab w:val="left" w:pos="432"/>
                <w:tab w:val="left" w:pos="812"/>
              </w:tabs>
              <w:spacing w:after="120" w:line="360" w:lineRule="auto"/>
              <w:jc w:val="center"/>
              <w:rPr>
                <w:rFonts w:ascii="Arial" w:eastAsia="Arial" w:hAnsi="Arial" w:cs="Arial"/>
                <w:color w:val="010000"/>
                <w:sz w:val="20"/>
                <w:szCs w:val="20"/>
              </w:rPr>
            </w:pPr>
            <w:r w:rsidRPr="00B4426F">
              <w:rPr>
                <w:rFonts w:ascii="Arial" w:hAnsi="Arial" w:cs="Arial"/>
                <w:color w:val="010000"/>
                <w:sz w:val="20"/>
              </w:rPr>
              <w:t>:</w:t>
            </w:r>
          </w:p>
        </w:tc>
        <w:tc>
          <w:tcPr>
            <w:tcW w:w="2102" w:type="pct"/>
            <w:shd w:val="clear" w:color="auto" w:fill="auto"/>
            <w:vAlign w:val="center"/>
          </w:tcPr>
          <w:p w14:paraId="1192DB75" w14:textId="77777777" w:rsidR="00C456B0" w:rsidRPr="00B4426F" w:rsidRDefault="00B50025" w:rsidP="00B50025">
            <w:pPr>
              <w:pBdr>
                <w:top w:val="nil"/>
                <w:left w:val="nil"/>
                <w:bottom w:val="nil"/>
                <w:right w:val="nil"/>
                <w:between w:val="nil"/>
              </w:pBdr>
              <w:tabs>
                <w:tab w:val="left" w:pos="432"/>
                <w:tab w:val="left" w:pos="812"/>
              </w:tabs>
              <w:spacing w:after="120" w:line="360" w:lineRule="auto"/>
              <w:rPr>
                <w:rFonts w:ascii="Arial" w:eastAsia="Arial" w:hAnsi="Arial" w:cs="Arial"/>
                <w:color w:val="010000"/>
                <w:sz w:val="20"/>
                <w:szCs w:val="20"/>
              </w:rPr>
            </w:pPr>
            <w:r w:rsidRPr="00B4426F">
              <w:rPr>
                <w:rFonts w:ascii="Arial" w:hAnsi="Arial" w:cs="Arial"/>
                <w:color w:val="010000"/>
                <w:sz w:val="20"/>
              </w:rPr>
              <w:t>2,557,616,416 shares</w:t>
            </w:r>
          </w:p>
        </w:tc>
      </w:tr>
      <w:tr w:rsidR="00C41F5A" w:rsidRPr="00B4426F" w14:paraId="1335DF2E" w14:textId="77777777" w:rsidTr="00B50025">
        <w:tc>
          <w:tcPr>
            <w:tcW w:w="2491" w:type="pct"/>
            <w:shd w:val="clear" w:color="auto" w:fill="auto"/>
            <w:vAlign w:val="center"/>
          </w:tcPr>
          <w:p w14:paraId="391E514E" w14:textId="301954BA" w:rsidR="00C41F5A" w:rsidRPr="00B4426F" w:rsidRDefault="00C41F5A" w:rsidP="00C41F5A">
            <w:pPr>
              <w:pBdr>
                <w:top w:val="nil"/>
                <w:left w:val="nil"/>
                <w:bottom w:val="nil"/>
                <w:right w:val="nil"/>
                <w:between w:val="nil"/>
              </w:pBdr>
              <w:tabs>
                <w:tab w:val="left" w:pos="432"/>
                <w:tab w:val="left" w:pos="812"/>
              </w:tabs>
              <w:spacing w:after="120" w:line="360" w:lineRule="auto"/>
              <w:rPr>
                <w:rFonts w:ascii="Arial" w:hAnsi="Arial" w:cs="Arial"/>
                <w:color w:val="010000"/>
                <w:sz w:val="20"/>
              </w:rPr>
            </w:pPr>
            <w:r w:rsidRPr="00B4426F">
              <w:rPr>
                <w:rFonts w:ascii="Arial" w:hAnsi="Arial" w:cs="Arial"/>
                <w:color w:val="010000"/>
                <w:sz w:val="20"/>
              </w:rPr>
              <w:t>In which:</w:t>
            </w:r>
          </w:p>
        </w:tc>
        <w:tc>
          <w:tcPr>
            <w:tcW w:w="407" w:type="pct"/>
            <w:shd w:val="clear" w:color="auto" w:fill="auto"/>
            <w:vAlign w:val="center"/>
          </w:tcPr>
          <w:p w14:paraId="5B21FA9F" w14:textId="77777777" w:rsidR="00C41F5A" w:rsidRPr="00B4426F" w:rsidRDefault="00C41F5A" w:rsidP="00B50025">
            <w:pPr>
              <w:pBdr>
                <w:top w:val="nil"/>
                <w:left w:val="nil"/>
                <w:bottom w:val="nil"/>
                <w:right w:val="nil"/>
                <w:between w:val="nil"/>
              </w:pBdr>
              <w:tabs>
                <w:tab w:val="left" w:pos="432"/>
                <w:tab w:val="left" w:pos="812"/>
              </w:tabs>
              <w:spacing w:after="120" w:line="360" w:lineRule="auto"/>
              <w:jc w:val="center"/>
              <w:rPr>
                <w:rFonts w:ascii="Arial" w:hAnsi="Arial" w:cs="Arial"/>
                <w:color w:val="010000"/>
                <w:sz w:val="20"/>
              </w:rPr>
            </w:pPr>
          </w:p>
        </w:tc>
        <w:tc>
          <w:tcPr>
            <w:tcW w:w="2102" w:type="pct"/>
            <w:shd w:val="clear" w:color="auto" w:fill="auto"/>
            <w:vAlign w:val="center"/>
          </w:tcPr>
          <w:p w14:paraId="41988512" w14:textId="77777777" w:rsidR="00C41F5A" w:rsidRPr="00B4426F" w:rsidRDefault="00C41F5A" w:rsidP="00B50025">
            <w:pPr>
              <w:pBdr>
                <w:top w:val="nil"/>
                <w:left w:val="nil"/>
                <w:bottom w:val="nil"/>
                <w:right w:val="nil"/>
                <w:between w:val="nil"/>
              </w:pBdr>
              <w:tabs>
                <w:tab w:val="left" w:pos="432"/>
              </w:tabs>
              <w:spacing w:after="120" w:line="360" w:lineRule="auto"/>
              <w:rPr>
                <w:rFonts w:ascii="Arial" w:hAnsi="Arial" w:cs="Arial"/>
                <w:color w:val="010000"/>
                <w:sz w:val="20"/>
              </w:rPr>
            </w:pPr>
          </w:p>
        </w:tc>
      </w:tr>
      <w:tr w:rsidR="00C41F5A" w:rsidRPr="00B4426F" w14:paraId="15D589BD" w14:textId="77777777" w:rsidTr="00B50025">
        <w:tc>
          <w:tcPr>
            <w:tcW w:w="2491" w:type="pct"/>
            <w:shd w:val="clear" w:color="auto" w:fill="auto"/>
            <w:vAlign w:val="center"/>
          </w:tcPr>
          <w:p w14:paraId="07300921" w14:textId="58A1D097" w:rsidR="00C41F5A" w:rsidRPr="00B4426F" w:rsidRDefault="00C41F5A" w:rsidP="00C41F5A">
            <w:pPr>
              <w:numPr>
                <w:ilvl w:val="0"/>
                <w:numId w:val="2"/>
              </w:numPr>
              <w:pBdr>
                <w:top w:val="nil"/>
                <w:left w:val="nil"/>
                <w:bottom w:val="nil"/>
                <w:right w:val="nil"/>
                <w:between w:val="nil"/>
              </w:pBdr>
              <w:tabs>
                <w:tab w:val="left" w:pos="432"/>
                <w:tab w:val="left" w:pos="812"/>
              </w:tabs>
              <w:spacing w:after="120" w:line="360" w:lineRule="auto"/>
              <w:ind w:left="0" w:firstLine="0"/>
              <w:rPr>
                <w:rFonts w:ascii="Arial" w:hAnsi="Arial" w:cs="Arial"/>
                <w:color w:val="010000"/>
                <w:sz w:val="20"/>
              </w:rPr>
            </w:pPr>
            <w:r w:rsidRPr="00B4426F">
              <w:rPr>
                <w:rFonts w:ascii="Arial" w:hAnsi="Arial" w:cs="Arial"/>
                <w:color w:val="010000"/>
                <w:sz w:val="20"/>
              </w:rPr>
              <w:t>Number of common shares</w:t>
            </w:r>
          </w:p>
        </w:tc>
        <w:tc>
          <w:tcPr>
            <w:tcW w:w="407" w:type="pct"/>
            <w:shd w:val="clear" w:color="auto" w:fill="auto"/>
            <w:vAlign w:val="center"/>
          </w:tcPr>
          <w:p w14:paraId="58DAF7E0" w14:textId="52CC24FE" w:rsidR="00C41F5A" w:rsidRPr="00B4426F" w:rsidRDefault="00C41F5A" w:rsidP="00C41F5A">
            <w:pPr>
              <w:pBdr>
                <w:top w:val="nil"/>
                <w:left w:val="nil"/>
                <w:bottom w:val="nil"/>
                <w:right w:val="nil"/>
                <w:between w:val="nil"/>
              </w:pBdr>
              <w:tabs>
                <w:tab w:val="left" w:pos="432"/>
                <w:tab w:val="left" w:pos="812"/>
              </w:tabs>
              <w:spacing w:after="120" w:line="360" w:lineRule="auto"/>
              <w:jc w:val="center"/>
              <w:rPr>
                <w:rFonts w:ascii="Arial" w:hAnsi="Arial" w:cs="Arial"/>
                <w:color w:val="010000"/>
                <w:sz w:val="20"/>
              </w:rPr>
            </w:pPr>
            <w:r w:rsidRPr="00B4426F">
              <w:rPr>
                <w:rFonts w:ascii="Arial" w:hAnsi="Arial" w:cs="Arial"/>
                <w:color w:val="010000"/>
                <w:sz w:val="20"/>
              </w:rPr>
              <w:t>:</w:t>
            </w:r>
          </w:p>
        </w:tc>
        <w:tc>
          <w:tcPr>
            <w:tcW w:w="2102" w:type="pct"/>
            <w:shd w:val="clear" w:color="auto" w:fill="auto"/>
            <w:vAlign w:val="center"/>
          </w:tcPr>
          <w:p w14:paraId="636431C0" w14:textId="7CB412F0" w:rsidR="00C41F5A" w:rsidRPr="00B4426F" w:rsidRDefault="00C41F5A" w:rsidP="00C41F5A">
            <w:pPr>
              <w:pBdr>
                <w:top w:val="nil"/>
                <w:left w:val="nil"/>
                <w:bottom w:val="nil"/>
                <w:right w:val="nil"/>
                <w:between w:val="nil"/>
              </w:pBdr>
              <w:tabs>
                <w:tab w:val="left" w:pos="432"/>
              </w:tabs>
              <w:spacing w:after="120" w:line="360" w:lineRule="auto"/>
              <w:rPr>
                <w:rFonts w:ascii="Arial" w:hAnsi="Arial" w:cs="Arial"/>
                <w:color w:val="010000"/>
                <w:sz w:val="20"/>
              </w:rPr>
            </w:pPr>
            <w:r w:rsidRPr="00B4426F">
              <w:rPr>
                <w:rFonts w:ascii="Arial" w:hAnsi="Arial" w:cs="Arial"/>
                <w:color w:val="010000"/>
                <w:sz w:val="20"/>
              </w:rPr>
              <w:t>2,557,616,416 shares</w:t>
            </w:r>
          </w:p>
        </w:tc>
      </w:tr>
      <w:tr w:rsidR="00C41F5A" w:rsidRPr="00B4426F" w14:paraId="30E99DE7" w14:textId="77777777" w:rsidTr="00B50025">
        <w:tc>
          <w:tcPr>
            <w:tcW w:w="2491" w:type="pct"/>
            <w:shd w:val="clear" w:color="auto" w:fill="auto"/>
            <w:vAlign w:val="center"/>
          </w:tcPr>
          <w:p w14:paraId="116DD405" w14:textId="14E85F10" w:rsidR="00C41F5A" w:rsidRPr="00B4426F" w:rsidRDefault="00C41F5A" w:rsidP="00C41F5A">
            <w:pPr>
              <w:numPr>
                <w:ilvl w:val="0"/>
                <w:numId w:val="2"/>
              </w:numPr>
              <w:pBdr>
                <w:top w:val="nil"/>
                <w:left w:val="nil"/>
                <w:bottom w:val="nil"/>
                <w:right w:val="nil"/>
                <w:between w:val="nil"/>
              </w:pBdr>
              <w:tabs>
                <w:tab w:val="left" w:pos="432"/>
                <w:tab w:val="left" w:pos="812"/>
              </w:tabs>
              <w:spacing w:after="120" w:line="360" w:lineRule="auto"/>
              <w:ind w:left="0" w:firstLine="0"/>
              <w:rPr>
                <w:rFonts w:ascii="Arial" w:eastAsia="Arial" w:hAnsi="Arial" w:cs="Arial"/>
                <w:color w:val="010000"/>
                <w:sz w:val="20"/>
                <w:szCs w:val="20"/>
              </w:rPr>
            </w:pPr>
            <w:r w:rsidRPr="00B4426F">
              <w:rPr>
                <w:rFonts w:ascii="Arial" w:hAnsi="Arial" w:cs="Arial"/>
                <w:color w:val="010000"/>
                <w:sz w:val="20"/>
              </w:rPr>
              <w:t>Number of preferred shares</w:t>
            </w:r>
          </w:p>
        </w:tc>
        <w:tc>
          <w:tcPr>
            <w:tcW w:w="407" w:type="pct"/>
            <w:shd w:val="clear" w:color="auto" w:fill="auto"/>
            <w:vAlign w:val="center"/>
          </w:tcPr>
          <w:p w14:paraId="3D6B7891" w14:textId="77777777" w:rsidR="00C41F5A" w:rsidRPr="00B4426F" w:rsidRDefault="00C41F5A" w:rsidP="00C41F5A">
            <w:pPr>
              <w:pBdr>
                <w:top w:val="nil"/>
                <w:left w:val="nil"/>
                <w:bottom w:val="nil"/>
                <w:right w:val="nil"/>
                <w:between w:val="nil"/>
              </w:pBdr>
              <w:tabs>
                <w:tab w:val="left" w:pos="432"/>
                <w:tab w:val="left" w:pos="812"/>
              </w:tabs>
              <w:spacing w:after="120" w:line="360" w:lineRule="auto"/>
              <w:jc w:val="center"/>
              <w:rPr>
                <w:rFonts w:ascii="Arial" w:eastAsia="Arial" w:hAnsi="Arial" w:cs="Arial"/>
                <w:color w:val="010000"/>
                <w:sz w:val="20"/>
                <w:szCs w:val="20"/>
              </w:rPr>
            </w:pPr>
            <w:r w:rsidRPr="00B4426F">
              <w:rPr>
                <w:rFonts w:ascii="Arial" w:hAnsi="Arial" w:cs="Arial"/>
                <w:color w:val="010000"/>
                <w:sz w:val="20"/>
              </w:rPr>
              <w:t>:</w:t>
            </w:r>
          </w:p>
        </w:tc>
        <w:tc>
          <w:tcPr>
            <w:tcW w:w="2102" w:type="pct"/>
            <w:shd w:val="clear" w:color="auto" w:fill="auto"/>
            <w:vAlign w:val="center"/>
          </w:tcPr>
          <w:p w14:paraId="5EFD27B8" w14:textId="11457B28" w:rsidR="00C41F5A" w:rsidRPr="00B4426F" w:rsidRDefault="00C41F5A" w:rsidP="00C41F5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4426F">
              <w:rPr>
                <w:rFonts w:ascii="Arial" w:hAnsi="Arial" w:cs="Arial"/>
                <w:color w:val="010000"/>
                <w:sz w:val="20"/>
              </w:rPr>
              <w:t>0 shares</w:t>
            </w:r>
          </w:p>
        </w:tc>
      </w:tr>
      <w:tr w:rsidR="00C41F5A" w:rsidRPr="00B4426F" w14:paraId="66966132" w14:textId="77777777" w:rsidTr="00B50025">
        <w:tc>
          <w:tcPr>
            <w:tcW w:w="2491" w:type="pct"/>
            <w:shd w:val="clear" w:color="auto" w:fill="auto"/>
            <w:vAlign w:val="center"/>
          </w:tcPr>
          <w:p w14:paraId="0D5B7B84" w14:textId="5622C429" w:rsidR="00C41F5A" w:rsidRPr="00B4426F" w:rsidRDefault="00C41F5A" w:rsidP="00C41F5A">
            <w:pPr>
              <w:numPr>
                <w:ilvl w:val="0"/>
                <w:numId w:val="2"/>
              </w:numPr>
              <w:pBdr>
                <w:top w:val="nil"/>
                <w:left w:val="nil"/>
                <w:bottom w:val="nil"/>
                <w:right w:val="nil"/>
                <w:between w:val="nil"/>
              </w:pBdr>
              <w:tabs>
                <w:tab w:val="left" w:pos="432"/>
                <w:tab w:val="left" w:pos="812"/>
              </w:tabs>
              <w:spacing w:after="120" w:line="360" w:lineRule="auto"/>
              <w:ind w:left="0" w:firstLine="0"/>
              <w:rPr>
                <w:rFonts w:ascii="Arial" w:eastAsia="Arial" w:hAnsi="Arial" w:cs="Arial"/>
                <w:color w:val="010000"/>
                <w:sz w:val="20"/>
                <w:szCs w:val="20"/>
              </w:rPr>
            </w:pPr>
            <w:r w:rsidRPr="00B4426F">
              <w:rPr>
                <w:rFonts w:ascii="Arial" w:hAnsi="Arial" w:cs="Arial"/>
                <w:color w:val="010000"/>
                <w:sz w:val="20"/>
              </w:rPr>
              <w:t xml:space="preserve">Number of treasury shares </w:t>
            </w:r>
          </w:p>
        </w:tc>
        <w:tc>
          <w:tcPr>
            <w:tcW w:w="407" w:type="pct"/>
            <w:shd w:val="clear" w:color="auto" w:fill="auto"/>
            <w:vAlign w:val="center"/>
          </w:tcPr>
          <w:p w14:paraId="099E2D34" w14:textId="77777777" w:rsidR="00C41F5A" w:rsidRPr="00B4426F" w:rsidRDefault="00C41F5A" w:rsidP="00C41F5A">
            <w:pPr>
              <w:pBdr>
                <w:top w:val="nil"/>
                <w:left w:val="nil"/>
                <w:bottom w:val="nil"/>
                <w:right w:val="nil"/>
                <w:between w:val="nil"/>
              </w:pBdr>
              <w:tabs>
                <w:tab w:val="left" w:pos="432"/>
                <w:tab w:val="left" w:pos="812"/>
              </w:tabs>
              <w:spacing w:after="120" w:line="360" w:lineRule="auto"/>
              <w:jc w:val="center"/>
              <w:rPr>
                <w:rFonts w:ascii="Arial" w:eastAsia="Arial" w:hAnsi="Arial" w:cs="Arial"/>
                <w:color w:val="010000"/>
                <w:sz w:val="20"/>
                <w:szCs w:val="20"/>
              </w:rPr>
            </w:pPr>
            <w:r w:rsidRPr="00B4426F">
              <w:rPr>
                <w:rFonts w:ascii="Arial" w:hAnsi="Arial" w:cs="Arial"/>
                <w:color w:val="010000"/>
                <w:sz w:val="20"/>
              </w:rPr>
              <w:t>:</w:t>
            </w:r>
          </w:p>
        </w:tc>
        <w:tc>
          <w:tcPr>
            <w:tcW w:w="2102" w:type="pct"/>
            <w:shd w:val="clear" w:color="auto" w:fill="auto"/>
            <w:vAlign w:val="center"/>
          </w:tcPr>
          <w:p w14:paraId="1438EADA" w14:textId="77777777" w:rsidR="00C41F5A" w:rsidRPr="00B4426F" w:rsidRDefault="00C41F5A" w:rsidP="00C41F5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4426F">
              <w:rPr>
                <w:rFonts w:ascii="Arial" w:hAnsi="Arial" w:cs="Arial"/>
                <w:color w:val="010000"/>
                <w:sz w:val="20"/>
              </w:rPr>
              <w:t>0 shares</w:t>
            </w:r>
          </w:p>
        </w:tc>
      </w:tr>
      <w:tr w:rsidR="00C41F5A" w:rsidRPr="00B4426F" w14:paraId="1BE452B5" w14:textId="77777777" w:rsidTr="00B50025">
        <w:tc>
          <w:tcPr>
            <w:tcW w:w="2491" w:type="pct"/>
            <w:shd w:val="clear" w:color="auto" w:fill="auto"/>
            <w:vAlign w:val="center"/>
          </w:tcPr>
          <w:p w14:paraId="321B9741" w14:textId="4A336E6F" w:rsidR="00C41F5A" w:rsidRPr="00B4426F" w:rsidRDefault="00C41F5A" w:rsidP="00C41F5A">
            <w:pPr>
              <w:numPr>
                <w:ilvl w:val="0"/>
                <w:numId w:val="1"/>
              </w:numPr>
              <w:pBdr>
                <w:top w:val="nil"/>
                <w:left w:val="nil"/>
                <w:bottom w:val="nil"/>
                <w:right w:val="nil"/>
                <w:between w:val="nil"/>
              </w:pBdr>
              <w:tabs>
                <w:tab w:val="left" w:pos="432"/>
                <w:tab w:val="left" w:pos="812"/>
              </w:tabs>
              <w:spacing w:after="120" w:line="360" w:lineRule="auto"/>
              <w:ind w:left="0" w:firstLine="0"/>
              <w:rPr>
                <w:rFonts w:ascii="Arial" w:eastAsia="Arial" w:hAnsi="Arial" w:cs="Arial"/>
                <w:color w:val="010000"/>
                <w:sz w:val="20"/>
                <w:szCs w:val="20"/>
              </w:rPr>
            </w:pPr>
            <w:r w:rsidRPr="00B4426F">
              <w:rPr>
                <w:rFonts w:ascii="Arial" w:hAnsi="Arial" w:cs="Arial"/>
                <w:color w:val="010000"/>
                <w:sz w:val="20"/>
              </w:rPr>
              <w:t xml:space="preserve">Par value </w:t>
            </w:r>
          </w:p>
        </w:tc>
        <w:tc>
          <w:tcPr>
            <w:tcW w:w="407" w:type="pct"/>
            <w:shd w:val="clear" w:color="auto" w:fill="auto"/>
            <w:vAlign w:val="center"/>
          </w:tcPr>
          <w:p w14:paraId="67865527" w14:textId="77777777" w:rsidR="00C41F5A" w:rsidRPr="00B4426F" w:rsidRDefault="00C41F5A" w:rsidP="00C41F5A">
            <w:pPr>
              <w:pBdr>
                <w:top w:val="nil"/>
                <w:left w:val="nil"/>
                <w:bottom w:val="nil"/>
                <w:right w:val="nil"/>
                <w:between w:val="nil"/>
              </w:pBdr>
              <w:tabs>
                <w:tab w:val="left" w:pos="432"/>
                <w:tab w:val="left" w:pos="812"/>
              </w:tabs>
              <w:spacing w:after="120" w:line="360" w:lineRule="auto"/>
              <w:jc w:val="center"/>
              <w:rPr>
                <w:rFonts w:ascii="Arial" w:eastAsia="Arial" w:hAnsi="Arial" w:cs="Arial"/>
                <w:color w:val="010000"/>
                <w:sz w:val="20"/>
                <w:szCs w:val="20"/>
              </w:rPr>
            </w:pPr>
            <w:r w:rsidRPr="00B4426F">
              <w:rPr>
                <w:rFonts w:ascii="Arial" w:hAnsi="Arial" w:cs="Arial"/>
                <w:color w:val="010000"/>
                <w:sz w:val="20"/>
              </w:rPr>
              <w:t>:</w:t>
            </w:r>
          </w:p>
        </w:tc>
        <w:tc>
          <w:tcPr>
            <w:tcW w:w="2102" w:type="pct"/>
            <w:shd w:val="clear" w:color="auto" w:fill="auto"/>
            <w:vAlign w:val="center"/>
          </w:tcPr>
          <w:p w14:paraId="277DB061" w14:textId="77777777" w:rsidR="00C41F5A" w:rsidRPr="00B4426F" w:rsidRDefault="00C41F5A" w:rsidP="00C41F5A">
            <w:pPr>
              <w:pBdr>
                <w:top w:val="nil"/>
                <w:left w:val="nil"/>
                <w:bottom w:val="nil"/>
                <w:right w:val="nil"/>
                <w:between w:val="nil"/>
              </w:pBdr>
              <w:tabs>
                <w:tab w:val="left" w:pos="432"/>
                <w:tab w:val="left" w:pos="812"/>
              </w:tabs>
              <w:spacing w:after="120" w:line="360" w:lineRule="auto"/>
              <w:rPr>
                <w:rFonts w:ascii="Arial" w:eastAsia="Arial" w:hAnsi="Arial" w:cs="Arial"/>
                <w:color w:val="010000"/>
                <w:sz w:val="20"/>
                <w:szCs w:val="20"/>
              </w:rPr>
            </w:pPr>
            <w:r w:rsidRPr="00B4426F">
              <w:rPr>
                <w:rFonts w:ascii="Arial" w:hAnsi="Arial" w:cs="Arial"/>
                <w:color w:val="010000"/>
                <w:sz w:val="20"/>
              </w:rPr>
              <w:t>VND 10,000</w:t>
            </w:r>
          </w:p>
        </w:tc>
      </w:tr>
      <w:tr w:rsidR="00C41F5A" w:rsidRPr="00B4426F" w14:paraId="7E583FFC" w14:textId="77777777" w:rsidTr="00B50025">
        <w:tc>
          <w:tcPr>
            <w:tcW w:w="2491" w:type="pct"/>
            <w:shd w:val="clear" w:color="auto" w:fill="auto"/>
            <w:vAlign w:val="center"/>
          </w:tcPr>
          <w:p w14:paraId="05FB7A21" w14:textId="1793BA6E" w:rsidR="00C41F5A" w:rsidRPr="00B4426F" w:rsidRDefault="00C41F5A" w:rsidP="00C41F5A">
            <w:pPr>
              <w:numPr>
                <w:ilvl w:val="0"/>
                <w:numId w:val="3"/>
              </w:numPr>
              <w:pBdr>
                <w:top w:val="nil"/>
                <w:left w:val="nil"/>
                <w:bottom w:val="nil"/>
                <w:right w:val="nil"/>
                <w:between w:val="nil"/>
              </w:pBdr>
              <w:tabs>
                <w:tab w:val="left" w:pos="432"/>
                <w:tab w:val="left" w:pos="898"/>
              </w:tabs>
              <w:spacing w:after="120" w:line="360" w:lineRule="auto"/>
              <w:ind w:left="0" w:firstLine="0"/>
              <w:rPr>
                <w:rFonts w:ascii="Arial" w:eastAsia="Arial" w:hAnsi="Arial" w:cs="Arial"/>
                <w:color w:val="010000"/>
                <w:sz w:val="20"/>
                <w:szCs w:val="20"/>
              </w:rPr>
            </w:pPr>
            <w:r w:rsidRPr="00B4426F">
              <w:rPr>
                <w:rFonts w:ascii="Arial" w:hAnsi="Arial" w:cs="Arial"/>
                <w:color w:val="010000"/>
                <w:sz w:val="20"/>
              </w:rPr>
              <w:t xml:space="preserve">Expected increase in charter capital after offering to existing shareholders </w:t>
            </w:r>
          </w:p>
        </w:tc>
        <w:tc>
          <w:tcPr>
            <w:tcW w:w="407" w:type="pct"/>
            <w:shd w:val="clear" w:color="auto" w:fill="auto"/>
            <w:vAlign w:val="center"/>
          </w:tcPr>
          <w:p w14:paraId="1B88E9FB" w14:textId="77777777" w:rsidR="00C41F5A" w:rsidRPr="00B4426F" w:rsidRDefault="00C41F5A" w:rsidP="00C41F5A">
            <w:pPr>
              <w:pBdr>
                <w:top w:val="nil"/>
                <w:left w:val="nil"/>
                <w:bottom w:val="nil"/>
                <w:right w:val="nil"/>
                <w:between w:val="nil"/>
              </w:pBdr>
              <w:tabs>
                <w:tab w:val="left" w:pos="432"/>
                <w:tab w:val="left" w:pos="812"/>
              </w:tabs>
              <w:spacing w:after="120" w:line="360" w:lineRule="auto"/>
              <w:jc w:val="center"/>
              <w:rPr>
                <w:rFonts w:ascii="Arial" w:eastAsia="Arial" w:hAnsi="Arial" w:cs="Arial"/>
                <w:color w:val="010000"/>
                <w:sz w:val="20"/>
                <w:szCs w:val="20"/>
              </w:rPr>
            </w:pPr>
            <w:r w:rsidRPr="00B4426F">
              <w:rPr>
                <w:rFonts w:ascii="Arial" w:hAnsi="Arial" w:cs="Arial"/>
                <w:color w:val="010000"/>
                <w:sz w:val="20"/>
              </w:rPr>
              <w:t>:</w:t>
            </w:r>
          </w:p>
        </w:tc>
        <w:tc>
          <w:tcPr>
            <w:tcW w:w="2102" w:type="pct"/>
            <w:shd w:val="clear" w:color="auto" w:fill="auto"/>
            <w:vAlign w:val="center"/>
          </w:tcPr>
          <w:p w14:paraId="6E84F92E" w14:textId="77777777" w:rsidR="00C41F5A" w:rsidRPr="00B4426F" w:rsidRDefault="00C41F5A" w:rsidP="00C41F5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4426F">
              <w:rPr>
                <w:rFonts w:ascii="Arial" w:hAnsi="Arial" w:cs="Arial"/>
                <w:color w:val="010000"/>
                <w:sz w:val="20"/>
              </w:rPr>
              <w:t>VND 8,000,000,000,000 (equivalent to 800,000,000 common shares)</w:t>
            </w:r>
          </w:p>
        </w:tc>
      </w:tr>
      <w:tr w:rsidR="00C41F5A" w:rsidRPr="00B4426F" w14:paraId="71128128" w14:textId="77777777" w:rsidTr="00B50025">
        <w:tc>
          <w:tcPr>
            <w:tcW w:w="2491" w:type="pct"/>
            <w:shd w:val="clear" w:color="auto" w:fill="auto"/>
            <w:vAlign w:val="center"/>
          </w:tcPr>
          <w:p w14:paraId="1A9BA481" w14:textId="77777777" w:rsidR="00C41F5A" w:rsidRPr="00B4426F" w:rsidRDefault="00C41F5A" w:rsidP="00C41F5A">
            <w:pPr>
              <w:numPr>
                <w:ilvl w:val="0"/>
                <w:numId w:val="3"/>
              </w:numPr>
              <w:pBdr>
                <w:top w:val="nil"/>
                <w:left w:val="nil"/>
                <w:bottom w:val="nil"/>
                <w:right w:val="nil"/>
                <w:between w:val="nil"/>
              </w:pBdr>
              <w:tabs>
                <w:tab w:val="left" w:pos="432"/>
                <w:tab w:val="left" w:pos="858"/>
              </w:tabs>
              <w:spacing w:after="120" w:line="360" w:lineRule="auto"/>
              <w:ind w:left="0" w:firstLine="0"/>
              <w:rPr>
                <w:rFonts w:ascii="Arial" w:eastAsia="Arial" w:hAnsi="Arial" w:cs="Arial"/>
                <w:color w:val="010000"/>
                <w:sz w:val="20"/>
                <w:szCs w:val="20"/>
              </w:rPr>
            </w:pPr>
            <w:r w:rsidRPr="00B4426F">
              <w:rPr>
                <w:rFonts w:ascii="Arial" w:hAnsi="Arial" w:cs="Arial"/>
                <w:color w:val="010000"/>
                <w:sz w:val="20"/>
              </w:rPr>
              <w:t>Expected charter capital after offering</w:t>
            </w:r>
          </w:p>
        </w:tc>
        <w:tc>
          <w:tcPr>
            <w:tcW w:w="407" w:type="pct"/>
            <w:shd w:val="clear" w:color="auto" w:fill="auto"/>
            <w:vAlign w:val="center"/>
          </w:tcPr>
          <w:p w14:paraId="6002A960" w14:textId="77777777" w:rsidR="00C41F5A" w:rsidRPr="00B4426F" w:rsidRDefault="00C41F5A" w:rsidP="00C41F5A">
            <w:pPr>
              <w:pBdr>
                <w:top w:val="nil"/>
                <w:left w:val="nil"/>
                <w:bottom w:val="nil"/>
                <w:right w:val="nil"/>
                <w:between w:val="nil"/>
              </w:pBdr>
              <w:tabs>
                <w:tab w:val="left" w:pos="432"/>
                <w:tab w:val="left" w:pos="812"/>
              </w:tabs>
              <w:spacing w:after="120" w:line="360" w:lineRule="auto"/>
              <w:jc w:val="center"/>
              <w:rPr>
                <w:rFonts w:ascii="Arial" w:eastAsia="Arial" w:hAnsi="Arial" w:cs="Arial"/>
                <w:color w:val="010000"/>
                <w:sz w:val="20"/>
                <w:szCs w:val="20"/>
              </w:rPr>
            </w:pPr>
            <w:r w:rsidRPr="00B4426F">
              <w:rPr>
                <w:rFonts w:ascii="Arial" w:hAnsi="Arial" w:cs="Arial"/>
                <w:color w:val="010000"/>
                <w:sz w:val="20"/>
              </w:rPr>
              <w:t>:</w:t>
            </w:r>
          </w:p>
        </w:tc>
        <w:tc>
          <w:tcPr>
            <w:tcW w:w="2102" w:type="pct"/>
            <w:shd w:val="clear" w:color="auto" w:fill="auto"/>
            <w:vAlign w:val="center"/>
          </w:tcPr>
          <w:p w14:paraId="6128B0C6" w14:textId="77777777" w:rsidR="00C41F5A" w:rsidRPr="00B4426F" w:rsidRDefault="00C41F5A" w:rsidP="00C41F5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4426F">
              <w:rPr>
                <w:rFonts w:ascii="Arial" w:hAnsi="Arial" w:cs="Arial"/>
                <w:color w:val="010000"/>
                <w:sz w:val="20"/>
              </w:rPr>
              <w:t>VND 33,576,164,160,000, (equivalent to 3,357,616,416 shares).</w:t>
            </w:r>
          </w:p>
        </w:tc>
      </w:tr>
    </w:tbl>
    <w:p w14:paraId="6DF1C494" w14:textId="77777777" w:rsidR="00C456B0" w:rsidRPr="00B4426F" w:rsidRDefault="00B50025" w:rsidP="00B5002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4426F">
        <w:rPr>
          <w:rFonts w:ascii="Arial" w:hAnsi="Arial" w:cs="Arial"/>
          <w:color w:val="010000"/>
          <w:sz w:val="20"/>
        </w:rPr>
        <w:t>‎‎Article 2. Assign and authorize the General Manager:</w:t>
      </w:r>
    </w:p>
    <w:p w14:paraId="6F0F5514" w14:textId="32B18C5E" w:rsidR="00C456B0" w:rsidRPr="00B4426F" w:rsidRDefault="00B50025" w:rsidP="009F2EDB">
      <w:pPr>
        <w:numPr>
          <w:ilvl w:val="0"/>
          <w:numId w:val="4"/>
        </w:numPr>
        <w:pBdr>
          <w:top w:val="nil"/>
          <w:left w:val="nil"/>
          <w:bottom w:val="nil"/>
          <w:right w:val="nil"/>
          <w:between w:val="nil"/>
        </w:pBdr>
        <w:tabs>
          <w:tab w:val="left" w:pos="432"/>
          <w:tab w:val="left" w:pos="814"/>
        </w:tabs>
        <w:spacing w:after="120" w:line="360" w:lineRule="auto"/>
        <w:jc w:val="both"/>
        <w:rPr>
          <w:rFonts w:ascii="Arial" w:eastAsia="Arial" w:hAnsi="Arial" w:cs="Arial"/>
          <w:color w:val="010000"/>
          <w:sz w:val="20"/>
          <w:szCs w:val="20"/>
        </w:rPr>
      </w:pPr>
      <w:r w:rsidRPr="00B4426F">
        <w:rPr>
          <w:rFonts w:ascii="Arial" w:hAnsi="Arial" w:cs="Arial"/>
          <w:color w:val="010000"/>
          <w:sz w:val="20"/>
        </w:rPr>
        <w:t xml:space="preserve">Decide the content, amend, supplement, sign and complete dossiers </w:t>
      </w:r>
      <w:r w:rsidR="00424D87" w:rsidRPr="00B4426F">
        <w:rPr>
          <w:rFonts w:ascii="Arial" w:hAnsi="Arial" w:cs="Arial"/>
          <w:color w:val="010000"/>
          <w:sz w:val="20"/>
        </w:rPr>
        <w:t>sent</w:t>
      </w:r>
      <w:r w:rsidRPr="00B4426F">
        <w:rPr>
          <w:rFonts w:ascii="Arial" w:hAnsi="Arial" w:cs="Arial"/>
          <w:color w:val="010000"/>
          <w:sz w:val="20"/>
        </w:rPr>
        <w:t xml:space="preserve"> to state management agencies and related units (The State Bank of Viet Nam, State Securities Commission</w:t>
      </w:r>
      <w:r w:rsidR="00424D87" w:rsidRPr="00B4426F">
        <w:rPr>
          <w:rFonts w:ascii="Arial" w:hAnsi="Arial" w:cs="Arial"/>
          <w:color w:val="010000"/>
          <w:sz w:val="20"/>
        </w:rPr>
        <w:t>,</w:t>
      </w:r>
      <w:r w:rsidRPr="00B4426F">
        <w:rPr>
          <w:rFonts w:ascii="Arial" w:hAnsi="Arial" w:cs="Arial"/>
          <w:color w:val="010000"/>
          <w:sz w:val="20"/>
        </w:rPr>
        <w:t xml:space="preserve"> Vietnam Securities Depository and Clearing Corporation, Stock exchanges, etc.)</w:t>
      </w:r>
      <w:r w:rsidR="00424D87" w:rsidRPr="00B4426F">
        <w:rPr>
          <w:rFonts w:ascii="Arial" w:hAnsi="Arial" w:cs="Arial"/>
          <w:color w:val="010000"/>
          <w:sz w:val="20"/>
        </w:rPr>
        <w:t>,</w:t>
      </w:r>
      <w:r w:rsidRPr="00B4426F">
        <w:rPr>
          <w:rFonts w:ascii="Arial" w:hAnsi="Arial" w:cs="Arial"/>
          <w:color w:val="010000"/>
          <w:sz w:val="20"/>
        </w:rPr>
        <w:t xml:space="preserve"> implement procedures on increasing capital and </w:t>
      </w:r>
      <w:r w:rsidR="00B4426F" w:rsidRPr="00B4426F">
        <w:rPr>
          <w:rFonts w:ascii="Arial" w:hAnsi="Arial" w:cs="Arial"/>
          <w:color w:val="010000"/>
          <w:sz w:val="20"/>
        </w:rPr>
        <w:t xml:space="preserve">procedures </w:t>
      </w:r>
      <w:r w:rsidRPr="00B4426F">
        <w:rPr>
          <w:rFonts w:ascii="Arial" w:hAnsi="Arial" w:cs="Arial"/>
          <w:color w:val="010000"/>
          <w:sz w:val="20"/>
        </w:rPr>
        <w:t xml:space="preserve">after increasing capital in accordance with regulations of law and </w:t>
      </w:r>
      <w:proofErr w:type="spellStart"/>
      <w:r w:rsidRPr="00B4426F">
        <w:rPr>
          <w:rFonts w:ascii="Arial" w:hAnsi="Arial" w:cs="Arial"/>
          <w:color w:val="010000"/>
          <w:sz w:val="20"/>
        </w:rPr>
        <w:t>LienViet</w:t>
      </w:r>
      <w:proofErr w:type="spellEnd"/>
      <w:r w:rsidRPr="00B4426F">
        <w:rPr>
          <w:rFonts w:ascii="Arial" w:hAnsi="Arial" w:cs="Arial"/>
          <w:color w:val="010000"/>
          <w:sz w:val="20"/>
        </w:rPr>
        <w:t xml:space="preserve"> Post Joint Stock Commercial Bank.</w:t>
      </w:r>
    </w:p>
    <w:p w14:paraId="3A3FCF16" w14:textId="1D47AA79" w:rsidR="00C456B0" w:rsidRPr="00B4426F" w:rsidRDefault="00B50025" w:rsidP="009F2EDB">
      <w:pPr>
        <w:numPr>
          <w:ilvl w:val="0"/>
          <w:numId w:val="4"/>
        </w:numPr>
        <w:pBdr>
          <w:top w:val="nil"/>
          <w:left w:val="nil"/>
          <w:bottom w:val="nil"/>
          <w:right w:val="nil"/>
          <w:between w:val="nil"/>
        </w:pBdr>
        <w:tabs>
          <w:tab w:val="left" w:pos="272"/>
          <w:tab w:val="left" w:pos="432"/>
        </w:tabs>
        <w:spacing w:after="120" w:line="360" w:lineRule="auto"/>
        <w:jc w:val="both"/>
        <w:rPr>
          <w:rFonts w:ascii="Arial" w:eastAsia="Arial" w:hAnsi="Arial" w:cs="Arial"/>
          <w:color w:val="010000"/>
          <w:sz w:val="20"/>
          <w:szCs w:val="20"/>
        </w:rPr>
      </w:pPr>
      <w:r w:rsidRPr="00B4426F">
        <w:rPr>
          <w:rFonts w:ascii="Arial" w:hAnsi="Arial" w:cs="Arial"/>
          <w:color w:val="010000"/>
          <w:sz w:val="20"/>
        </w:rPr>
        <w:t xml:space="preserve">Assign related units/individuals </w:t>
      </w:r>
      <w:r w:rsidR="00B4426F" w:rsidRPr="00B4426F">
        <w:rPr>
          <w:rFonts w:ascii="Arial" w:hAnsi="Arial" w:cs="Arial"/>
          <w:color w:val="010000"/>
          <w:sz w:val="20"/>
        </w:rPr>
        <w:t xml:space="preserve">to </w:t>
      </w:r>
      <w:r w:rsidRPr="00B4426F">
        <w:rPr>
          <w:rFonts w:ascii="Arial" w:hAnsi="Arial" w:cs="Arial"/>
          <w:color w:val="010000"/>
          <w:sz w:val="20"/>
        </w:rPr>
        <w:t xml:space="preserve">implement </w:t>
      </w:r>
      <w:r w:rsidR="00B4426F" w:rsidRPr="00B4426F">
        <w:rPr>
          <w:rFonts w:ascii="Arial" w:hAnsi="Arial" w:cs="Arial"/>
          <w:color w:val="010000"/>
          <w:sz w:val="20"/>
        </w:rPr>
        <w:t xml:space="preserve">the </w:t>
      </w:r>
      <w:r w:rsidRPr="00B4426F">
        <w:rPr>
          <w:rFonts w:ascii="Arial" w:hAnsi="Arial" w:cs="Arial"/>
          <w:color w:val="010000"/>
          <w:sz w:val="20"/>
        </w:rPr>
        <w:t xml:space="preserve">plan on increasing charter capital 2024 of </w:t>
      </w:r>
      <w:proofErr w:type="spellStart"/>
      <w:r w:rsidRPr="00B4426F">
        <w:rPr>
          <w:rFonts w:ascii="Arial" w:hAnsi="Arial" w:cs="Arial"/>
          <w:color w:val="010000"/>
          <w:sz w:val="20"/>
        </w:rPr>
        <w:t>LienViet</w:t>
      </w:r>
      <w:proofErr w:type="spellEnd"/>
      <w:r w:rsidRPr="00B4426F">
        <w:rPr>
          <w:rFonts w:ascii="Arial" w:hAnsi="Arial" w:cs="Arial"/>
          <w:color w:val="010000"/>
          <w:sz w:val="20"/>
        </w:rPr>
        <w:t xml:space="preserve"> Post Joint Stock Commercial Bank in accordance </w:t>
      </w:r>
      <w:bookmarkStart w:id="0" w:name="_GoBack"/>
      <w:bookmarkEnd w:id="0"/>
      <w:r w:rsidRPr="00B4426F">
        <w:rPr>
          <w:rFonts w:ascii="Arial" w:hAnsi="Arial" w:cs="Arial"/>
          <w:color w:val="010000"/>
          <w:sz w:val="20"/>
        </w:rPr>
        <w:t>with provisions of law and the Bank.</w:t>
      </w:r>
    </w:p>
    <w:p w14:paraId="3CF84B58" w14:textId="77777777" w:rsidR="00C456B0" w:rsidRPr="00B4426F" w:rsidRDefault="00B50025" w:rsidP="009F2ED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4426F">
        <w:rPr>
          <w:rFonts w:ascii="Arial" w:hAnsi="Arial" w:cs="Arial"/>
          <w:color w:val="010000"/>
          <w:sz w:val="20"/>
        </w:rPr>
        <w:t xml:space="preserve">‎‎Article 3. This Resolution takes effect from the date of its signing. The General Manager, the Office of the Board of Directors and related units and individuals are responsible for complying with the provisions of the Law and </w:t>
      </w:r>
      <w:proofErr w:type="spellStart"/>
      <w:r w:rsidRPr="00B4426F">
        <w:rPr>
          <w:rFonts w:ascii="Arial" w:hAnsi="Arial" w:cs="Arial"/>
          <w:color w:val="010000"/>
          <w:sz w:val="20"/>
        </w:rPr>
        <w:t>LienViet</w:t>
      </w:r>
      <w:proofErr w:type="spellEnd"/>
      <w:r w:rsidRPr="00B4426F">
        <w:rPr>
          <w:rFonts w:ascii="Arial" w:hAnsi="Arial" w:cs="Arial"/>
          <w:color w:val="010000"/>
          <w:sz w:val="20"/>
        </w:rPr>
        <w:t xml:space="preserve"> Post Joint Stock Commercial Bank.</w:t>
      </w:r>
    </w:p>
    <w:sectPr w:rsidR="00C456B0" w:rsidRPr="00B4426F" w:rsidSect="00B5002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B08D9"/>
    <w:multiLevelType w:val="multilevel"/>
    <w:tmpl w:val="4D62143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B06057F"/>
    <w:multiLevelType w:val="multilevel"/>
    <w:tmpl w:val="37006302"/>
    <w:lvl w:ilvl="0">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FAB497B"/>
    <w:multiLevelType w:val="multilevel"/>
    <w:tmpl w:val="70E2F050"/>
    <w:lvl w:ilvl="0">
      <w:start w:val="1"/>
      <w:numFmt w:val="bullet"/>
      <w:lvlText w:val="+"/>
      <w:lvlJc w:val="left"/>
      <w:pPr>
        <w:ind w:left="720" w:hanging="360"/>
      </w:pPr>
      <w:rPr>
        <w:rFonts w:ascii="Noto Sans Symbols" w:eastAsia="Noto Sans Symbols" w:hAnsi="Noto Sans Symbols" w:cs="Noto Sans Symbols"/>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951E46"/>
    <w:multiLevelType w:val="multilevel"/>
    <w:tmpl w:val="2CAC362A"/>
    <w:lvl w:ilvl="0">
      <w:start w:val="1"/>
      <w:numFmt w:val="lowerLetter"/>
      <w:lvlText w:val="%1."/>
      <w:lvlJc w:val="left"/>
      <w:pPr>
        <w:ind w:left="760" w:hanging="360"/>
      </w:pPr>
      <w:rPr>
        <w:rFonts w:ascii="Arial" w:eastAsia="Arial" w:hAnsi="Arial" w:cs="Arial"/>
        <w:b w:val="0"/>
        <w:i w:val="0"/>
        <w:sz w:val="20"/>
        <w:szCs w:val="20"/>
        <w:u w:val="none"/>
      </w:rPr>
    </w:lvl>
    <w:lvl w:ilvl="1">
      <w:start w:val="1"/>
      <w:numFmt w:val="lowerLetter"/>
      <w:lvlText w:val="%2."/>
      <w:lvlJc w:val="left"/>
      <w:pPr>
        <w:ind w:left="1480" w:hanging="360"/>
      </w:pPr>
      <w:rPr>
        <w:rFonts w:ascii="Arial" w:eastAsia="Arial" w:hAnsi="Arial" w:cs="Arial"/>
        <w:b w:val="0"/>
        <w:i w:val="0"/>
        <w:sz w:val="20"/>
        <w:szCs w:val="20"/>
      </w:rPr>
    </w:lvl>
    <w:lvl w:ilvl="2">
      <w:start w:val="1"/>
      <w:numFmt w:val="lowerRoman"/>
      <w:lvlText w:val="%3."/>
      <w:lvlJc w:val="right"/>
      <w:pPr>
        <w:ind w:left="2200" w:hanging="180"/>
      </w:pPr>
      <w:rPr>
        <w:rFonts w:ascii="Arial" w:eastAsia="Arial" w:hAnsi="Arial" w:cs="Arial"/>
        <w:b w:val="0"/>
        <w:i w:val="0"/>
        <w:sz w:val="20"/>
        <w:szCs w:val="20"/>
      </w:r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B0"/>
    <w:rsid w:val="00020079"/>
    <w:rsid w:val="000A2AD1"/>
    <w:rsid w:val="00424D87"/>
    <w:rsid w:val="006D62E1"/>
    <w:rsid w:val="0084198A"/>
    <w:rsid w:val="009F2EDB"/>
    <w:rsid w:val="00B4426F"/>
    <w:rsid w:val="00B50025"/>
    <w:rsid w:val="00C41F5A"/>
    <w:rsid w:val="00C456B0"/>
    <w:rsid w:val="00E55C0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3FB43"/>
  <w15:docId w15:val="{0135440E-E1EC-41E9-B531-42450F6A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4">
    <w:name w:val="Body text (4)_"/>
    <w:basedOn w:val="DefaultParagraphFont"/>
    <w:link w:val="Bodytext40"/>
    <w:rPr>
      <w:rFonts w:ascii="Arial" w:eastAsia="Arial" w:hAnsi="Arial" w:cs="Arial"/>
      <w:b/>
      <w:bCs/>
      <w:i w:val="0"/>
      <w:iCs w:val="0"/>
      <w:smallCaps w:val="0"/>
      <w:strike w:val="0"/>
      <w:sz w:val="42"/>
      <w:szCs w:val="4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Arial" w:eastAsia="Arial" w:hAnsi="Arial" w:cs="Arial"/>
      <w:b/>
      <w:bCs/>
      <w:i w:val="0"/>
      <w:iCs w:val="0"/>
      <w:smallCaps w:val="0"/>
      <w:strike w:val="0"/>
      <w:color w:val="BC142F"/>
      <w:w w:val="70"/>
      <w:sz w:val="19"/>
      <w:szCs w:val="19"/>
      <w:u w:val="none"/>
      <w:shd w:val="clear" w:color="auto" w:fill="auto"/>
    </w:rPr>
  </w:style>
  <w:style w:type="paragraph" w:customStyle="1" w:styleId="Bodytext40">
    <w:name w:val="Body text (4)"/>
    <w:basedOn w:val="Normal"/>
    <w:link w:val="Bodytext4"/>
    <w:pPr>
      <w:jc w:val="center"/>
    </w:pPr>
    <w:rPr>
      <w:rFonts w:ascii="Arial" w:eastAsia="Arial" w:hAnsi="Arial" w:cs="Arial"/>
      <w:b/>
      <w:bCs/>
      <w:sz w:val="42"/>
      <w:szCs w:val="42"/>
    </w:rPr>
  </w:style>
  <w:style w:type="paragraph" w:styleId="BodyText">
    <w:name w:val="Body Text"/>
    <w:basedOn w:val="Normal"/>
    <w:link w:val="BodyTextChar"/>
    <w:qFormat/>
    <w:pPr>
      <w:spacing w:line="360" w:lineRule="auto"/>
      <w:ind w:firstLine="400"/>
    </w:pPr>
    <w:rPr>
      <w:rFonts w:ascii="Times New Roman" w:eastAsia="Times New Roman" w:hAnsi="Times New Roman" w:cs="Times New Roman"/>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customStyle="1" w:styleId="Bodytext30">
    <w:name w:val="Body text (3)"/>
    <w:basedOn w:val="Normal"/>
    <w:link w:val="Bodytext3"/>
    <w:rPr>
      <w:rFonts w:ascii="Arial" w:eastAsia="Arial" w:hAnsi="Arial" w:cs="Arial"/>
      <w:b/>
      <w:bCs/>
      <w:color w:val="BC142F"/>
      <w:w w:val="70"/>
      <w:sz w:val="19"/>
      <w:szCs w:val="19"/>
    </w:rPr>
  </w:style>
  <w:style w:type="table" w:styleId="TableGrid">
    <w:name w:val="Table Grid"/>
    <w:basedOn w:val="TableNormal"/>
    <w:uiPriority w:val="39"/>
    <w:rsid w:val="001A6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EJKRpq3kDuNtPeUK5lv9z1siYw==">CgMxLjAyCGguZ2pkZ3hzOAByITFCYjFBX2Y0bWlNWkFiOS14MHFQSVc5QzdGUlhmekJScw==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11</cp:revision>
  <dcterms:created xsi:type="dcterms:W3CDTF">2024-04-25T04:02:00Z</dcterms:created>
  <dcterms:modified xsi:type="dcterms:W3CDTF">2024-04-26T03:25:00Z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4b6d343302a772791b01a55e34e025a30b097571d86776100c3afc8410bcd16a</vt:lpwstr>
  </property>
</Properties>
</file>