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B24EC"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F60697">
        <w:rPr>
          <w:rFonts w:ascii="Arial" w:hAnsi="Arial" w:cs="Arial"/>
          <w:b/>
          <w:color w:val="010000"/>
          <w:sz w:val="20"/>
        </w:rPr>
        <w:t>MEC</w:t>
      </w:r>
      <w:proofErr w:type="spellEnd"/>
      <w:r w:rsidRPr="00F60697">
        <w:rPr>
          <w:rFonts w:ascii="Arial" w:hAnsi="Arial" w:cs="Arial"/>
          <w:b/>
          <w:color w:val="010000"/>
          <w:sz w:val="20"/>
        </w:rPr>
        <w:t>: Explanation of the qualified opinion on the Financial Statements 2023</w:t>
      </w:r>
    </w:p>
    <w:p w14:paraId="7AAB24ED"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On April 24, 2024, Song Da Mechanical - Assembling Joint Stock Company announced Official Dispatch No. </w:t>
      </w:r>
      <w:proofErr w:type="spellStart"/>
      <w:r w:rsidRPr="00F60697">
        <w:rPr>
          <w:rFonts w:ascii="Arial" w:hAnsi="Arial" w:cs="Arial"/>
          <w:color w:val="010000"/>
          <w:sz w:val="20"/>
        </w:rPr>
        <w:t>30CT-TCKT</w:t>
      </w:r>
      <w:proofErr w:type="spellEnd"/>
      <w:r w:rsidRPr="00F60697">
        <w:rPr>
          <w:rFonts w:ascii="Arial" w:hAnsi="Arial" w:cs="Arial"/>
          <w:color w:val="010000"/>
          <w:sz w:val="20"/>
        </w:rPr>
        <w:t xml:space="preserve"> on explaining the auditor's qualified opinion on the Financial Statements 2023 as follows:</w:t>
      </w:r>
    </w:p>
    <w:p w14:paraId="7AAB24EE" w14:textId="77777777" w:rsidR="00937586" w:rsidRPr="00F60697" w:rsidRDefault="003E5762" w:rsidP="003E5762">
      <w:pPr>
        <w:numPr>
          <w:ilvl w:val="0"/>
          <w:numId w:val="2"/>
        </w:numPr>
        <w:pBdr>
          <w:top w:val="nil"/>
          <w:left w:val="nil"/>
          <w:bottom w:val="nil"/>
          <w:right w:val="nil"/>
          <w:between w:val="nil"/>
        </w:pBdr>
        <w:tabs>
          <w:tab w:val="left" w:pos="1049"/>
        </w:tabs>
        <w:spacing w:after="120" w:line="360" w:lineRule="auto"/>
        <w:rPr>
          <w:rFonts w:ascii="Arial" w:eastAsia="Arial" w:hAnsi="Arial" w:cs="Arial"/>
          <w:color w:val="010000"/>
          <w:sz w:val="20"/>
          <w:szCs w:val="20"/>
        </w:rPr>
      </w:pPr>
      <w:r w:rsidRPr="00F60697">
        <w:rPr>
          <w:rFonts w:ascii="Arial" w:hAnsi="Arial" w:cs="Arial"/>
          <w:color w:val="010000"/>
          <w:sz w:val="20"/>
        </w:rPr>
        <w:t>According to the Audited Combined Financial Statements 2023:</w:t>
      </w:r>
    </w:p>
    <w:p w14:paraId="7AAB24EF"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Basis of auditor’s qualified opinion:</w:t>
      </w:r>
    </w:p>
    <w:p w14:paraId="7AAB24F0"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Some receivables (receivables from customers and prepayments to sellers) and liabilities (payables to sellers, prepayments from buyers) have not been reconciled and confirmed with relevant entities as of December 31, 2023 are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83,691,485,680 and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132,153,535,606, respectively and as of December 31, 2022 are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98,906,457,629 and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68,280,521,941, respectively. Through additional and alternative audit procedures, we were unable to obtain sufficient appropriate audit evidence about the above balance as well as the impact (if any) on the Company's Combined Financial Statements for the fiscal year ending December 31, 2023.</w:t>
      </w:r>
    </w:p>
    <w:p w14:paraId="7AAB24F1"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In previous years, the Company has not fully made provision for bad receivable debts for long-term overdue debt balances, estimated at about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3,236,175,404. If the Company recorded a full provision for bad receivable debts in previous years, the Combined Balance Sheet would increase the target "Provision for short-term bad receivable debts" and decrease the target "Undistributed profit after tax” on January 1, 2023 with the corresponding value.</w:t>
      </w:r>
    </w:p>
    <w:p w14:paraId="073BAFC2" w14:textId="0564265B" w:rsidR="00CF386F" w:rsidRPr="00F60697" w:rsidRDefault="003E5762" w:rsidP="003E5762">
      <w:pPr>
        <w:pBdr>
          <w:top w:val="nil"/>
          <w:left w:val="nil"/>
          <w:bottom w:val="nil"/>
          <w:right w:val="nil"/>
          <w:between w:val="nil"/>
        </w:pBdr>
        <w:spacing w:after="120" w:line="360" w:lineRule="auto"/>
        <w:rPr>
          <w:rFonts w:ascii="Arial" w:hAnsi="Arial" w:cs="Arial"/>
          <w:color w:val="010000"/>
          <w:sz w:val="20"/>
        </w:rPr>
      </w:pPr>
      <w:r w:rsidRPr="00F60697">
        <w:rPr>
          <w:rFonts w:ascii="Arial" w:hAnsi="Arial" w:cs="Arial"/>
          <w:color w:val="010000"/>
          <w:sz w:val="20"/>
        </w:rPr>
        <w:t xml:space="preserve">The Company has not yet collected the Financial Statements for the fiscal year ending December 31, 2023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1 Power Joint Stock Company (joint venture). Therefore, we cannot give an opinion on the accuracy and completeness of the loss provisions for investments in joint ventures that are recorded in the following targets: (</w:t>
      </w:r>
      <w:proofErr w:type="spellStart"/>
      <w:r w:rsidRPr="00F60697">
        <w:rPr>
          <w:rFonts w:ascii="Arial" w:hAnsi="Arial" w:cs="Arial"/>
          <w:color w:val="010000"/>
          <w:sz w:val="20"/>
        </w:rPr>
        <w:t>i</w:t>
      </w:r>
      <w:proofErr w:type="spellEnd"/>
      <w:r w:rsidRPr="00F60697">
        <w:rPr>
          <w:rFonts w:ascii="Arial" w:hAnsi="Arial" w:cs="Arial"/>
          <w:color w:val="010000"/>
          <w:sz w:val="20"/>
        </w:rPr>
        <w:t xml:space="preserve">) Target "Financial expenses" of this year in the amount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7,174,731,829; (ii) Target "Provision for devaluation of long-term financial investments” in the amount </w:t>
      </w:r>
      <w:proofErr w:type="gramStart"/>
      <w:r w:rsidRPr="00F60697">
        <w:rPr>
          <w:rFonts w:ascii="Arial" w:hAnsi="Arial" w:cs="Arial"/>
          <w:color w:val="010000"/>
          <w:sz w:val="20"/>
        </w:rPr>
        <w:t>of</w:t>
      </w:r>
      <w:proofErr w:type="gramEnd"/>
      <w:r w:rsidRPr="00F60697">
        <w:rPr>
          <w:rFonts w:ascii="Arial" w:hAnsi="Arial" w:cs="Arial"/>
          <w:color w:val="010000"/>
          <w:sz w:val="20"/>
        </w:rPr>
        <w:t xml:space="preserve">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(23,817,361,651) (closing balance).</w:t>
      </w:r>
      <w:r w:rsidR="00D21DAA" w:rsidRPr="00F60697">
        <w:rPr>
          <w:rFonts w:ascii="Arial" w:hAnsi="Arial" w:cs="Arial"/>
          <w:color w:val="010000"/>
          <w:sz w:val="20"/>
        </w:rPr>
        <w:t xml:space="preserve"> (Details in</w:t>
      </w:r>
      <w:r w:rsidR="00CF386F" w:rsidRPr="00F60697">
        <w:rPr>
          <w:rFonts w:ascii="Arial" w:hAnsi="Arial" w:cs="Arial"/>
          <w:color w:val="010000"/>
          <w:sz w:val="20"/>
        </w:rPr>
        <w:t xml:space="preserve"> the Financial Statements footnote </w:t>
      </w:r>
      <w:proofErr w:type="gramStart"/>
      <w:r w:rsidR="00CF386F" w:rsidRPr="00F60697">
        <w:rPr>
          <w:rFonts w:ascii="Arial" w:hAnsi="Arial" w:cs="Arial"/>
          <w:color w:val="010000"/>
          <w:sz w:val="20"/>
        </w:rPr>
        <w:t>No</w:t>
      </w:r>
      <w:proofErr w:type="gramEnd"/>
      <w:r w:rsidR="00CF386F" w:rsidRPr="00F60697">
        <w:rPr>
          <w:rFonts w:ascii="Arial" w:hAnsi="Arial" w:cs="Arial"/>
          <w:color w:val="010000"/>
          <w:sz w:val="20"/>
        </w:rPr>
        <w:t xml:space="preserve">. </w:t>
      </w:r>
      <w:proofErr w:type="spellStart"/>
      <w:r w:rsidR="00CF386F" w:rsidRPr="00F60697">
        <w:rPr>
          <w:rFonts w:ascii="Arial" w:hAnsi="Arial" w:cs="Arial"/>
          <w:color w:val="010000"/>
          <w:sz w:val="20"/>
        </w:rPr>
        <w:t>V.2b</w:t>
      </w:r>
      <w:proofErr w:type="spellEnd"/>
      <w:r w:rsidR="00CF386F" w:rsidRPr="00F60697">
        <w:rPr>
          <w:rFonts w:ascii="Arial" w:hAnsi="Arial" w:cs="Arial"/>
          <w:color w:val="010000"/>
          <w:sz w:val="20"/>
        </w:rPr>
        <w:t>).</w:t>
      </w:r>
    </w:p>
    <w:p w14:paraId="7AAB24F3" w14:textId="77777777" w:rsidR="00937586" w:rsidRPr="00F60697" w:rsidRDefault="003E5762" w:rsidP="003E5762">
      <w:pPr>
        <w:numPr>
          <w:ilvl w:val="0"/>
          <w:numId w:val="2"/>
        </w:numPr>
        <w:pBdr>
          <w:top w:val="nil"/>
          <w:left w:val="nil"/>
          <w:bottom w:val="nil"/>
          <w:right w:val="nil"/>
          <w:between w:val="nil"/>
        </w:pBdr>
        <w:tabs>
          <w:tab w:val="left" w:pos="1087"/>
        </w:tabs>
        <w:spacing w:after="120" w:line="360" w:lineRule="auto"/>
        <w:rPr>
          <w:rFonts w:ascii="Arial" w:eastAsia="Arial" w:hAnsi="Arial" w:cs="Arial"/>
          <w:color w:val="010000"/>
          <w:sz w:val="20"/>
          <w:szCs w:val="20"/>
        </w:rPr>
      </w:pPr>
      <w:r w:rsidRPr="00F60697">
        <w:rPr>
          <w:rFonts w:ascii="Arial" w:hAnsi="Arial" w:cs="Arial"/>
          <w:color w:val="010000"/>
          <w:sz w:val="20"/>
        </w:rPr>
        <w:t>According to the Audited Consolidated Financial Statements 2023:</w:t>
      </w:r>
    </w:p>
    <w:p w14:paraId="7AAB24F4"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Basis of auditor’s qualified opinion:</w:t>
      </w:r>
    </w:p>
    <w:p w14:paraId="6E202129" w14:textId="2A7A3AEB" w:rsidR="00CF386F" w:rsidRPr="00F60697" w:rsidRDefault="003E5762" w:rsidP="00CF386F">
      <w:pPr>
        <w:pBdr>
          <w:top w:val="nil"/>
          <w:left w:val="nil"/>
          <w:bottom w:val="nil"/>
          <w:right w:val="nil"/>
          <w:between w:val="nil"/>
        </w:pBdr>
        <w:spacing w:after="120" w:line="360" w:lineRule="auto"/>
        <w:rPr>
          <w:rFonts w:ascii="Arial" w:hAnsi="Arial" w:cs="Arial"/>
          <w:color w:val="010000"/>
          <w:sz w:val="20"/>
        </w:rPr>
      </w:pPr>
      <w:r w:rsidRPr="00F60697">
        <w:rPr>
          <w:rFonts w:ascii="Arial" w:hAnsi="Arial" w:cs="Arial"/>
          <w:color w:val="010000"/>
          <w:sz w:val="20"/>
        </w:rPr>
        <w:t xml:space="preserve">The Financial Statements 2023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Technology One Member Company Limited (Subsidiary) and Long Son Branch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w:t>
      </w:r>
      <w:proofErr w:type="spellStart"/>
      <w:r w:rsidRPr="00F60697">
        <w:rPr>
          <w:rFonts w:ascii="Arial" w:hAnsi="Arial" w:cs="Arial"/>
          <w:color w:val="010000"/>
          <w:sz w:val="20"/>
        </w:rPr>
        <w:t>Hagiang</w:t>
      </w:r>
      <w:proofErr w:type="spellEnd"/>
      <w:r w:rsidRPr="00F60697">
        <w:rPr>
          <w:rFonts w:ascii="Arial" w:hAnsi="Arial" w:cs="Arial"/>
          <w:color w:val="010000"/>
          <w:sz w:val="20"/>
        </w:rPr>
        <w:t xml:space="preserve"> Joint Stocks Company (Subsidiary) are not audited because these units stopped </w:t>
      </w:r>
      <w:r w:rsidR="00CF386F" w:rsidRPr="00F60697">
        <w:rPr>
          <w:rFonts w:ascii="Arial" w:hAnsi="Arial" w:cs="Arial"/>
          <w:color w:val="010000"/>
          <w:sz w:val="20"/>
        </w:rPr>
        <w:t xml:space="preserve">operation </w:t>
      </w:r>
      <w:r w:rsidRPr="00F60697">
        <w:rPr>
          <w:rFonts w:ascii="Arial" w:hAnsi="Arial" w:cs="Arial"/>
          <w:color w:val="010000"/>
          <w:sz w:val="20"/>
        </w:rPr>
        <w:t xml:space="preserve">many years ago. Therefore, we cannot give an opinion on the figures on the Balance Sheet of these entities consolidated into the Consolidated Balance Sheet as of December 31, 2023 with total assets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34,866,233,685 (opening balance is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41,500,585,661), payables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49,565,289,948 (opening balance is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49,665,289,948) and undistributed profit after tax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(21,682,062,660) (opening balance is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(21,739,522,892)).</w:t>
      </w:r>
      <w:r w:rsidR="00CF386F" w:rsidRPr="00F60697">
        <w:rPr>
          <w:rFonts w:ascii="Arial" w:hAnsi="Arial" w:cs="Arial"/>
          <w:color w:val="010000"/>
          <w:sz w:val="20"/>
        </w:rPr>
        <w:t xml:space="preserve"> (Details in the Financial Statements footnote </w:t>
      </w:r>
      <w:proofErr w:type="gramStart"/>
      <w:r w:rsidR="00CF386F" w:rsidRPr="00F60697">
        <w:rPr>
          <w:rFonts w:ascii="Arial" w:hAnsi="Arial" w:cs="Arial"/>
          <w:color w:val="010000"/>
          <w:sz w:val="20"/>
        </w:rPr>
        <w:t>No</w:t>
      </w:r>
      <w:proofErr w:type="gramEnd"/>
      <w:r w:rsidR="00CF386F" w:rsidRPr="00F60697">
        <w:rPr>
          <w:rFonts w:ascii="Arial" w:hAnsi="Arial" w:cs="Arial"/>
          <w:color w:val="010000"/>
          <w:sz w:val="20"/>
        </w:rPr>
        <w:t xml:space="preserve">. </w:t>
      </w:r>
      <w:proofErr w:type="spellStart"/>
      <w:r w:rsidR="00CF386F" w:rsidRPr="00F60697">
        <w:rPr>
          <w:rFonts w:ascii="Arial" w:hAnsi="Arial" w:cs="Arial"/>
          <w:color w:val="010000"/>
          <w:sz w:val="20"/>
        </w:rPr>
        <w:t>I.6a</w:t>
      </w:r>
      <w:proofErr w:type="spellEnd"/>
      <w:r w:rsidR="00CF386F" w:rsidRPr="00F60697">
        <w:rPr>
          <w:rFonts w:ascii="Arial" w:hAnsi="Arial" w:cs="Arial"/>
          <w:color w:val="010000"/>
          <w:sz w:val="20"/>
        </w:rPr>
        <w:t>).</w:t>
      </w:r>
    </w:p>
    <w:p w14:paraId="7AAB24F6"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The fixed assets of Nam Ly 1 Hydropower Plant have not been classified according to the use of the assets. The depreciation period of these assets is estimated to be 30 years without depreciation according to the useful life of each asset. We do not have enough basis to draw conclusions about </w:t>
      </w:r>
      <w:r w:rsidRPr="00F60697">
        <w:rPr>
          <w:rFonts w:ascii="Arial" w:hAnsi="Arial" w:cs="Arial"/>
          <w:color w:val="010000"/>
          <w:sz w:val="20"/>
        </w:rPr>
        <w:lastRenderedPageBreak/>
        <w:t xml:space="preserve">the accumulated depreciation of Nam Ly 1 Hydropower Plant as well as the impact of this issue on related targets on the Consolidated Financial Statements. </w:t>
      </w:r>
    </w:p>
    <w:p w14:paraId="7AAB24F7" w14:textId="52B7FDA9"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Some receivables (receivables from customers and prepayments to sellers) and liabilities (payables to sellers, prepayments from buyers) have not been reconciled and confirmed with relevant entities as of December 31, 2023 are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141,367,859,172 and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137,821,134,696, respectively, and December 31, 2022 are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108,361,252,408 and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90,432,044,927, respectively. Through additional and alternative audit procedures, we were unable to obtain sufficient appropriate audit evidence about the above balance as well as the impact (if any) on the Consolidated Financial Statements for the fiscal year ending December </w:t>
      </w:r>
      <w:r w:rsidR="00CF386F" w:rsidRPr="00F60697">
        <w:rPr>
          <w:rFonts w:ascii="Arial" w:hAnsi="Arial" w:cs="Arial"/>
          <w:color w:val="010000"/>
          <w:sz w:val="20"/>
        </w:rPr>
        <w:t xml:space="preserve">31, </w:t>
      </w:r>
      <w:r w:rsidRPr="00F60697">
        <w:rPr>
          <w:rFonts w:ascii="Arial" w:hAnsi="Arial" w:cs="Arial"/>
          <w:color w:val="010000"/>
          <w:sz w:val="20"/>
        </w:rPr>
        <w:t>2023 of the Group of Companies.</w:t>
      </w:r>
    </w:p>
    <w:p w14:paraId="7AAB24F8" w14:textId="77777777" w:rsidR="00937586" w:rsidRPr="00F60697" w:rsidRDefault="003E5762" w:rsidP="003E5762">
      <w:pPr>
        <w:pBdr>
          <w:top w:val="nil"/>
          <w:left w:val="nil"/>
          <w:bottom w:val="nil"/>
          <w:right w:val="nil"/>
          <w:between w:val="nil"/>
        </w:pBdr>
        <w:spacing w:after="120" w:line="360" w:lineRule="auto"/>
        <w:rPr>
          <w:rFonts w:ascii="Arial" w:eastAsia="Arial" w:hAnsi="Arial" w:cs="Arial"/>
          <w:color w:val="010000"/>
          <w:sz w:val="20"/>
          <w:szCs w:val="20"/>
        </w:rPr>
      </w:pPr>
      <w:r w:rsidRPr="00F60697">
        <w:rPr>
          <w:rFonts w:ascii="Arial" w:hAnsi="Arial" w:cs="Arial"/>
          <w:color w:val="010000"/>
          <w:sz w:val="20"/>
        </w:rPr>
        <w:t xml:space="preserve">In previous years, the Group of Companies did not fully make provision for bad receivable debts for long-term overdue debt balances, estimated at about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3,236,175,404. If the Group of Companies recorded a full provision for bad debts, the consolidated balance sheet would increase the target "Provision for short-term bad receivable debts" and decrease the target "Undistributed profit after tax" on January 1, 2023 with the corresponding value.</w:t>
      </w:r>
    </w:p>
    <w:p w14:paraId="7AAB24F9" w14:textId="02E9331B" w:rsidR="00937586" w:rsidRPr="00843C3F" w:rsidRDefault="003E5762" w:rsidP="00843C3F">
      <w:pPr>
        <w:spacing w:after="120" w:line="360" w:lineRule="auto"/>
        <w:rPr>
          <w:rFonts w:ascii="Arial" w:hAnsi="Arial" w:cs="Arial"/>
          <w:sz w:val="20"/>
        </w:rPr>
      </w:pPr>
      <w:r w:rsidRPr="00F60697">
        <w:rPr>
          <w:rFonts w:ascii="Arial" w:hAnsi="Arial" w:cs="Arial"/>
          <w:color w:val="010000"/>
          <w:sz w:val="20"/>
        </w:rPr>
        <w:t xml:space="preserve">The Group of Companies has not yet collected the Financial Statements for the fiscal year ending December 31, 2023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1 Power Joint Stock Company (joint venture). Therefore, we cannot give an opinion on the accuracy and completeness on the accuracy and completeness of the following targets: (</w:t>
      </w:r>
      <w:proofErr w:type="spellStart"/>
      <w:r w:rsidRPr="00F60697">
        <w:rPr>
          <w:rFonts w:ascii="Arial" w:hAnsi="Arial" w:cs="Arial"/>
          <w:color w:val="010000"/>
          <w:sz w:val="20"/>
        </w:rPr>
        <w:t>i</w:t>
      </w:r>
      <w:proofErr w:type="spellEnd"/>
      <w:r w:rsidRPr="00F60697">
        <w:rPr>
          <w:rFonts w:ascii="Arial" w:hAnsi="Arial" w:cs="Arial"/>
          <w:color w:val="010000"/>
          <w:sz w:val="20"/>
        </w:rPr>
        <w:t xml:space="preserve">) Target "Investment in joint ventures” in the amount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36,830,075,998; (ii) Target "Profit or loss in joint ventures” in the amount of </w:t>
      </w:r>
      <w:proofErr w:type="spellStart"/>
      <w:r w:rsidRPr="00F60697">
        <w:rPr>
          <w:rFonts w:ascii="Arial" w:hAnsi="Arial" w:cs="Arial"/>
          <w:color w:val="010000"/>
          <w:sz w:val="20"/>
        </w:rPr>
        <w:t>VND</w:t>
      </w:r>
      <w:proofErr w:type="spellEnd"/>
      <w:r w:rsidRPr="00F60697">
        <w:rPr>
          <w:rFonts w:ascii="Arial" w:hAnsi="Arial" w:cs="Arial"/>
          <w:color w:val="010000"/>
          <w:sz w:val="20"/>
        </w:rPr>
        <w:t xml:space="preserve"> (53,865,814).</w:t>
      </w:r>
      <w:r w:rsidR="00843C3F">
        <w:rPr>
          <w:rFonts w:ascii="Arial" w:hAnsi="Arial" w:cs="Arial"/>
          <w:sz w:val="20"/>
        </w:rPr>
        <w:t xml:space="preserve"> (Details in the Financial Statements footnote </w:t>
      </w:r>
      <w:proofErr w:type="gramStart"/>
      <w:r w:rsidR="00843C3F">
        <w:rPr>
          <w:rFonts w:ascii="Arial" w:hAnsi="Arial" w:cs="Arial"/>
          <w:sz w:val="20"/>
        </w:rPr>
        <w:t>No</w:t>
      </w:r>
      <w:proofErr w:type="gramEnd"/>
      <w:r w:rsidR="00843C3F">
        <w:rPr>
          <w:rFonts w:ascii="Arial" w:hAnsi="Arial" w:cs="Arial"/>
          <w:sz w:val="20"/>
        </w:rPr>
        <w:t xml:space="preserve">. </w:t>
      </w:r>
      <w:proofErr w:type="spellStart"/>
      <w:r w:rsidR="00843C3F">
        <w:rPr>
          <w:rFonts w:ascii="Arial" w:hAnsi="Arial" w:cs="Arial"/>
          <w:sz w:val="20"/>
        </w:rPr>
        <w:t>V.2b</w:t>
      </w:r>
      <w:proofErr w:type="spellEnd"/>
      <w:r w:rsidR="00843C3F">
        <w:rPr>
          <w:rFonts w:ascii="Arial" w:hAnsi="Arial" w:cs="Arial"/>
          <w:sz w:val="20"/>
        </w:rPr>
        <w:t>).</w:t>
      </w:r>
    </w:p>
    <w:p w14:paraId="7AAB24FA" w14:textId="77777777" w:rsidR="00937586" w:rsidRPr="00F60697" w:rsidRDefault="003E5762" w:rsidP="003E5762">
      <w:pPr>
        <w:numPr>
          <w:ilvl w:val="0"/>
          <w:numId w:val="2"/>
        </w:numPr>
        <w:pBdr>
          <w:top w:val="nil"/>
          <w:left w:val="nil"/>
          <w:bottom w:val="nil"/>
          <w:right w:val="nil"/>
          <w:between w:val="nil"/>
        </w:pBdr>
        <w:tabs>
          <w:tab w:val="left" w:pos="1040"/>
        </w:tabs>
        <w:spacing w:after="120" w:line="360" w:lineRule="auto"/>
        <w:rPr>
          <w:rFonts w:ascii="Arial" w:eastAsia="Arial" w:hAnsi="Arial" w:cs="Arial"/>
          <w:color w:val="010000"/>
          <w:sz w:val="20"/>
          <w:szCs w:val="20"/>
        </w:rPr>
      </w:pPr>
      <w:r w:rsidRPr="00F60697">
        <w:rPr>
          <w:rFonts w:ascii="Arial" w:hAnsi="Arial" w:cs="Arial"/>
          <w:color w:val="010000"/>
          <w:sz w:val="20"/>
        </w:rPr>
        <w:t>The Company’s explanation:</w:t>
      </w:r>
    </w:p>
    <w:p w14:paraId="7AAB24FB" w14:textId="77777777" w:rsidR="00937586" w:rsidRPr="00F60697" w:rsidRDefault="003E5762" w:rsidP="003E5762">
      <w:pPr>
        <w:numPr>
          <w:ilvl w:val="0"/>
          <w:numId w:val="1"/>
        </w:numPr>
        <w:pBdr>
          <w:top w:val="nil"/>
          <w:left w:val="nil"/>
          <w:bottom w:val="nil"/>
          <w:right w:val="nil"/>
          <w:between w:val="nil"/>
        </w:pBdr>
        <w:tabs>
          <w:tab w:val="left" w:pos="940"/>
        </w:tabs>
        <w:spacing w:after="120" w:line="360" w:lineRule="auto"/>
        <w:rPr>
          <w:rFonts w:ascii="Arial" w:eastAsia="Arial" w:hAnsi="Arial" w:cs="Arial"/>
          <w:color w:val="010000"/>
          <w:sz w:val="20"/>
          <w:szCs w:val="20"/>
        </w:rPr>
      </w:pPr>
      <w:r w:rsidRPr="00F60697">
        <w:rPr>
          <w:rFonts w:ascii="Arial" w:hAnsi="Arial" w:cs="Arial"/>
          <w:color w:val="010000"/>
          <w:sz w:val="20"/>
        </w:rPr>
        <w:t>For reconciliation and confirmation of receivables (receivables from customers and prepayments to sellers): The Company sends reconciliations and letters confirming receivables and prepayments to sellers on a monthly, quarterly and annual basis by direct/express delivery. However, some customers when receiving the reconciliation and debt confirmation letters are slow and deliberately do not confirm or compare the debt balance, causing the reconciliation rate to not be guaranteed according to the Audit's regulations. This is the main reason for the auditor's qualified opinion.</w:t>
      </w:r>
    </w:p>
    <w:p w14:paraId="7AAB24FC" w14:textId="77777777" w:rsidR="00937586" w:rsidRPr="00F60697" w:rsidRDefault="003E5762" w:rsidP="003E5762">
      <w:pPr>
        <w:numPr>
          <w:ilvl w:val="0"/>
          <w:numId w:val="1"/>
        </w:numPr>
        <w:pBdr>
          <w:top w:val="nil"/>
          <w:left w:val="nil"/>
          <w:bottom w:val="nil"/>
          <w:right w:val="nil"/>
          <w:between w:val="nil"/>
        </w:pBdr>
        <w:tabs>
          <w:tab w:val="left" w:pos="940"/>
        </w:tabs>
        <w:spacing w:after="120" w:line="360" w:lineRule="auto"/>
        <w:rPr>
          <w:rFonts w:ascii="Arial" w:eastAsia="Arial" w:hAnsi="Arial" w:cs="Arial"/>
          <w:color w:val="010000"/>
          <w:sz w:val="20"/>
          <w:szCs w:val="20"/>
        </w:rPr>
      </w:pPr>
      <w:r w:rsidRPr="00F60697">
        <w:rPr>
          <w:rFonts w:ascii="Arial" w:hAnsi="Arial" w:cs="Arial"/>
          <w:color w:val="010000"/>
          <w:sz w:val="20"/>
        </w:rPr>
        <w:t>For provision for bad receivable debts: The Company evaluates receivables based on the ability to collect debts, so it has not made provision for bad receivable debts in 2023. In 2024, the Company will deploy synchronous solutions to collect receivables so that it does not have to make provisions according to the auditor’s opinion mentioned above.</w:t>
      </w:r>
    </w:p>
    <w:p w14:paraId="7AAB24FD" w14:textId="77777777" w:rsidR="00937586" w:rsidRPr="00F60697" w:rsidRDefault="003E5762" w:rsidP="003E5762">
      <w:pPr>
        <w:numPr>
          <w:ilvl w:val="0"/>
          <w:numId w:val="1"/>
        </w:numPr>
        <w:pBdr>
          <w:top w:val="nil"/>
          <w:left w:val="nil"/>
          <w:bottom w:val="nil"/>
          <w:right w:val="nil"/>
          <w:between w:val="nil"/>
        </w:pBdr>
        <w:tabs>
          <w:tab w:val="left" w:pos="940"/>
        </w:tabs>
        <w:spacing w:after="120" w:line="360" w:lineRule="auto"/>
        <w:rPr>
          <w:rFonts w:ascii="Arial" w:eastAsia="Arial" w:hAnsi="Arial" w:cs="Arial"/>
          <w:color w:val="010000"/>
          <w:sz w:val="20"/>
          <w:szCs w:val="20"/>
        </w:rPr>
      </w:pPr>
      <w:r w:rsidRPr="00F60697">
        <w:rPr>
          <w:rFonts w:ascii="Arial" w:hAnsi="Arial" w:cs="Arial"/>
          <w:color w:val="010000"/>
          <w:sz w:val="20"/>
        </w:rPr>
        <w:t xml:space="preserve">For collecting Financial Statements for the fiscal year ending December 31, 2023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1 Power Joint Stock Company (joint venture):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1 Power Joint Stock Company did not provide the Financial Statements 2023 and other content as requested by Song Da Mechanical - </w:t>
      </w:r>
      <w:proofErr w:type="spellStart"/>
      <w:r w:rsidRPr="00F60697">
        <w:rPr>
          <w:rFonts w:ascii="Arial" w:hAnsi="Arial" w:cs="Arial"/>
          <w:color w:val="010000"/>
          <w:sz w:val="20"/>
        </w:rPr>
        <w:t>Asembling</w:t>
      </w:r>
      <w:proofErr w:type="spellEnd"/>
      <w:r w:rsidRPr="00F60697">
        <w:rPr>
          <w:rFonts w:ascii="Arial" w:hAnsi="Arial" w:cs="Arial"/>
          <w:color w:val="010000"/>
          <w:sz w:val="20"/>
        </w:rPr>
        <w:t xml:space="preserve"> Joint Stock Company. In order to protect its rights and legitimate interests, the Company initiated a lawsuit against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1 Power Joint Stock Company and was accepted by the People's Court of Lang Son province according to notice No. 01/TB-</w:t>
      </w:r>
      <w:proofErr w:type="spellStart"/>
      <w:r w:rsidRPr="00F60697">
        <w:rPr>
          <w:rFonts w:ascii="Arial" w:hAnsi="Arial" w:cs="Arial"/>
          <w:color w:val="010000"/>
          <w:sz w:val="20"/>
        </w:rPr>
        <w:t>TLVA</w:t>
      </w:r>
      <w:proofErr w:type="spellEnd"/>
      <w:r w:rsidRPr="00F60697">
        <w:rPr>
          <w:rFonts w:ascii="Arial" w:hAnsi="Arial" w:cs="Arial"/>
          <w:color w:val="010000"/>
          <w:sz w:val="20"/>
        </w:rPr>
        <w:t xml:space="preserve"> dated April 9, 2024.</w:t>
      </w:r>
    </w:p>
    <w:p w14:paraId="7AAB24FE" w14:textId="77777777" w:rsidR="00937586" w:rsidRPr="00F60697" w:rsidRDefault="003E5762" w:rsidP="003E5762">
      <w:pPr>
        <w:numPr>
          <w:ilvl w:val="0"/>
          <w:numId w:val="1"/>
        </w:numPr>
        <w:pBdr>
          <w:top w:val="nil"/>
          <w:left w:val="nil"/>
          <w:bottom w:val="nil"/>
          <w:right w:val="nil"/>
          <w:between w:val="nil"/>
        </w:pBdr>
        <w:tabs>
          <w:tab w:val="left" w:pos="940"/>
        </w:tabs>
        <w:spacing w:after="120" w:line="360" w:lineRule="auto"/>
        <w:rPr>
          <w:rFonts w:ascii="Arial" w:eastAsia="Arial" w:hAnsi="Arial" w:cs="Arial"/>
          <w:color w:val="010000"/>
          <w:sz w:val="20"/>
          <w:szCs w:val="20"/>
        </w:rPr>
      </w:pPr>
      <w:r w:rsidRPr="00F60697">
        <w:rPr>
          <w:rFonts w:ascii="Arial" w:hAnsi="Arial" w:cs="Arial"/>
          <w:color w:val="010000"/>
          <w:sz w:val="20"/>
        </w:rPr>
        <w:lastRenderedPageBreak/>
        <w:t xml:space="preserve">For the Financial Statements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Technology One Member Company Limited (Subsidiary) and Long Son Branch of </w:t>
      </w:r>
      <w:proofErr w:type="spellStart"/>
      <w:r w:rsidRPr="00F60697">
        <w:rPr>
          <w:rFonts w:ascii="Arial" w:hAnsi="Arial" w:cs="Arial"/>
          <w:color w:val="010000"/>
          <w:sz w:val="20"/>
        </w:rPr>
        <w:t>Someco</w:t>
      </w:r>
      <w:proofErr w:type="spellEnd"/>
      <w:r w:rsidRPr="00F60697">
        <w:rPr>
          <w:rFonts w:ascii="Arial" w:hAnsi="Arial" w:cs="Arial"/>
          <w:color w:val="010000"/>
          <w:sz w:val="20"/>
        </w:rPr>
        <w:t xml:space="preserve"> </w:t>
      </w:r>
      <w:proofErr w:type="spellStart"/>
      <w:r w:rsidRPr="00F60697">
        <w:rPr>
          <w:rFonts w:ascii="Arial" w:hAnsi="Arial" w:cs="Arial"/>
          <w:color w:val="010000"/>
          <w:sz w:val="20"/>
        </w:rPr>
        <w:t>Hagiang</w:t>
      </w:r>
      <w:proofErr w:type="spellEnd"/>
      <w:r w:rsidRPr="00F60697">
        <w:rPr>
          <w:rFonts w:ascii="Arial" w:hAnsi="Arial" w:cs="Arial"/>
          <w:color w:val="010000"/>
          <w:sz w:val="20"/>
        </w:rPr>
        <w:t xml:space="preserve"> Joint Stocks Company (Subsidiary): The Company has a policy of dissolving the above units to merge into the Holding Company. However, due to problems in resolving obligations with the state budget and insurance, the prescribed procedures have not been completed.</w:t>
      </w:r>
    </w:p>
    <w:sectPr w:rsidR="00937586" w:rsidRPr="00F60697" w:rsidSect="003E576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5FA1"/>
    <w:multiLevelType w:val="multilevel"/>
    <w:tmpl w:val="E51AAD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258701A"/>
    <w:multiLevelType w:val="multilevel"/>
    <w:tmpl w:val="4CEC486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86"/>
    <w:rsid w:val="003E5762"/>
    <w:rsid w:val="00843C3F"/>
    <w:rsid w:val="00937586"/>
    <w:rsid w:val="00CF386F"/>
    <w:rsid w:val="00D21DAA"/>
    <w:rsid w:val="00D717B0"/>
    <w:rsid w:val="00F606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24EC"/>
  <w15:docId w15:val="{99E62F72-C8B1-4093-A90A-B64C033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color w:val="CA3256"/>
      <w:w w:val="100"/>
      <w:sz w:val="20"/>
      <w:szCs w:val="20"/>
      <w:u w:val="none"/>
      <w:shd w:val="clear" w:color="auto" w:fill="auto"/>
    </w:rPr>
  </w:style>
  <w:style w:type="character" w:customStyle="1" w:styleId="Vnbnnidung5">
    <w:name w:val="Văn bản nội dung (5)_"/>
    <w:basedOn w:val="DefaultParagraphFont"/>
    <w:link w:val="Vnbnnidung50"/>
    <w:rPr>
      <w:rFonts w:ascii="Arial Narrow" w:eastAsia="Arial Narrow" w:hAnsi="Arial Narrow" w:cs="Arial Narrow"/>
      <w:b/>
      <w:bCs/>
      <w:i w:val="0"/>
      <w:iCs w:val="0"/>
      <w:smallCaps w:val="0"/>
      <w:strike w:val="0"/>
      <w:color w:val="CA3256"/>
      <w:w w:val="80"/>
      <w:sz w:val="28"/>
      <w:szCs w:val="28"/>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CA3256"/>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71" w:lineRule="auto"/>
      <w:ind w:firstLine="8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26" w:lineRule="auto"/>
      <w:jc w:val="center"/>
    </w:pPr>
    <w:rPr>
      <w:rFonts w:ascii="Calibri" w:eastAsia="Calibri" w:hAnsi="Calibri" w:cs="Calibri"/>
      <w:color w:val="CA3256"/>
      <w:sz w:val="20"/>
      <w:szCs w:val="20"/>
    </w:rPr>
  </w:style>
  <w:style w:type="paragraph" w:customStyle="1" w:styleId="Vnbnnidung50">
    <w:name w:val="Văn bản nội dung (5)"/>
    <w:basedOn w:val="Normal"/>
    <w:link w:val="Vnbnnidung5"/>
    <w:pPr>
      <w:spacing w:line="209" w:lineRule="auto"/>
    </w:pPr>
    <w:rPr>
      <w:rFonts w:ascii="Arial Narrow" w:eastAsia="Arial Narrow" w:hAnsi="Arial Narrow" w:cs="Arial Narrow"/>
      <w:b/>
      <w:bCs/>
      <w:color w:val="CA3256"/>
      <w:w w:val="80"/>
      <w:sz w:val="28"/>
      <w:szCs w:val="28"/>
    </w:rPr>
  </w:style>
  <w:style w:type="paragraph" w:customStyle="1" w:styleId="Vnbnnidung60">
    <w:name w:val="Văn bản nội dung (6)"/>
    <w:basedOn w:val="Normal"/>
    <w:link w:val="Vnbnnidung6"/>
    <w:rPr>
      <w:rFonts w:ascii="Times New Roman" w:eastAsia="Times New Roman" w:hAnsi="Times New Roman" w:cs="Times New Roman"/>
      <w:color w:val="CA3256"/>
      <w:sz w:val="16"/>
      <w:szCs w:val="16"/>
    </w:rPr>
  </w:style>
  <w:style w:type="paragraph" w:customStyle="1" w:styleId="Vnbnnidung30">
    <w:name w:val="Văn bản nội dung (3)"/>
    <w:basedOn w:val="Normal"/>
    <w:link w:val="Vnbnnidung3"/>
    <w:pPr>
      <w:spacing w:line="26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Qur7uzgWo4f5OfQQLx4sb/mNA==">CgMxLjA4AHIhMUZzZ085NWQ3YklnUWNUOExiWWxfdFJPcVZSTGU2dUxN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2024-04-26T03:53:00Z</dcterms:created>
  <dcterms:modified xsi:type="dcterms:W3CDTF">2024-04-26T03:53:00Z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e63d20a0c3f7a3c01cffe6058fa43fd3da67553c5504d415136b2c21f89c6f7d</vt:lpwstr>
  </property>
</Properties>
</file>