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3D57" w:rsidRPr="00954A92" w:rsidRDefault="006C3880" w:rsidP="006C38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954A92">
        <w:rPr>
          <w:rFonts w:ascii="Arial" w:hAnsi="Arial" w:cs="Arial"/>
          <w:b/>
          <w:color w:val="010000"/>
          <w:sz w:val="20"/>
        </w:rPr>
        <w:t>MEF</w:t>
      </w:r>
      <w:proofErr w:type="spellEnd"/>
      <w:r w:rsidRPr="00954A92">
        <w:rPr>
          <w:rFonts w:ascii="Arial" w:hAnsi="Arial" w:cs="Arial"/>
          <w:b/>
          <w:color w:val="010000"/>
          <w:sz w:val="20"/>
        </w:rPr>
        <w:t>: Annual General Mandate 2024</w:t>
      </w:r>
    </w:p>
    <w:p w14:paraId="00000002" w14:textId="1E54199B" w:rsidR="00223D57" w:rsidRPr="00954A92" w:rsidRDefault="006C3880" w:rsidP="006C38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954A92">
        <w:rPr>
          <w:rFonts w:ascii="Arial" w:hAnsi="Arial" w:cs="Arial"/>
          <w:color w:val="010000"/>
          <w:sz w:val="20"/>
        </w:rPr>
        <w:t>MEINFA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Joint Stock Company announced </w:t>
      </w:r>
      <w:r w:rsidR="00954A92" w:rsidRPr="00954A92">
        <w:rPr>
          <w:rFonts w:ascii="Arial" w:hAnsi="Arial" w:cs="Arial"/>
          <w:color w:val="010000"/>
          <w:sz w:val="20"/>
        </w:rPr>
        <w:t>General Mandate</w:t>
      </w:r>
      <w:r w:rsidRPr="00954A92">
        <w:rPr>
          <w:rFonts w:ascii="Arial" w:hAnsi="Arial" w:cs="Arial"/>
          <w:color w:val="010000"/>
          <w:sz w:val="20"/>
        </w:rPr>
        <w:t xml:space="preserve"> No. 24/NQ-</w:t>
      </w:r>
      <w:proofErr w:type="spellStart"/>
      <w:r w:rsidRPr="00954A92">
        <w:rPr>
          <w:rFonts w:ascii="Arial" w:hAnsi="Arial" w:cs="Arial"/>
          <w:color w:val="010000"/>
          <w:sz w:val="20"/>
        </w:rPr>
        <w:t>DHDCD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3BB724A9" w:rsidR="00223D57" w:rsidRPr="00954A92" w:rsidRDefault="006C3880" w:rsidP="006C38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>Article 1</w:t>
      </w:r>
      <w:r w:rsidR="00954A92" w:rsidRPr="00954A92">
        <w:rPr>
          <w:rFonts w:ascii="Arial" w:hAnsi="Arial" w:cs="Arial"/>
          <w:color w:val="010000"/>
          <w:sz w:val="20"/>
        </w:rPr>
        <w:t>:</w:t>
      </w:r>
      <w:r w:rsidRPr="00954A92">
        <w:rPr>
          <w:rFonts w:ascii="Arial" w:hAnsi="Arial" w:cs="Arial"/>
          <w:color w:val="010000"/>
          <w:sz w:val="20"/>
        </w:rPr>
        <w:t xml:space="preserve"> Approve the </w:t>
      </w:r>
      <w:r w:rsidR="00954A92" w:rsidRPr="00954A92">
        <w:rPr>
          <w:rFonts w:ascii="Arial" w:hAnsi="Arial" w:cs="Arial"/>
          <w:color w:val="010000"/>
          <w:sz w:val="20"/>
        </w:rPr>
        <w:t xml:space="preserve">Report </w:t>
      </w:r>
      <w:r w:rsidRPr="00954A92">
        <w:rPr>
          <w:rFonts w:ascii="Arial" w:hAnsi="Arial" w:cs="Arial"/>
          <w:color w:val="010000"/>
          <w:sz w:val="20"/>
        </w:rPr>
        <w:t xml:space="preserve">on </w:t>
      </w:r>
      <w:r w:rsidR="00954A92" w:rsidRPr="00954A92">
        <w:rPr>
          <w:rFonts w:ascii="Arial" w:hAnsi="Arial" w:cs="Arial"/>
          <w:color w:val="010000"/>
          <w:sz w:val="20"/>
        </w:rPr>
        <w:t>production and business results</w:t>
      </w:r>
      <w:r w:rsidRPr="00954A92">
        <w:rPr>
          <w:rFonts w:ascii="Arial" w:hAnsi="Arial" w:cs="Arial"/>
          <w:color w:val="010000"/>
          <w:sz w:val="20"/>
        </w:rPr>
        <w:t xml:space="preserve">, </w:t>
      </w:r>
      <w:r w:rsidR="00954A92" w:rsidRPr="00954A92">
        <w:rPr>
          <w:rFonts w:ascii="Arial" w:hAnsi="Arial" w:cs="Arial"/>
          <w:color w:val="010000"/>
          <w:sz w:val="20"/>
        </w:rPr>
        <w:t>the Audited Financial Statements</w:t>
      </w:r>
      <w:r w:rsidRPr="00954A92">
        <w:rPr>
          <w:rFonts w:ascii="Arial" w:hAnsi="Arial" w:cs="Arial"/>
          <w:color w:val="010000"/>
          <w:sz w:val="20"/>
        </w:rPr>
        <w:t xml:space="preserve"> and profit distribution plan </w:t>
      </w:r>
      <w:r w:rsidR="00954A92" w:rsidRPr="00954A92">
        <w:rPr>
          <w:rFonts w:ascii="Arial" w:hAnsi="Arial" w:cs="Arial"/>
          <w:color w:val="010000"/>
          <w:sz w:val="20"/>
        </w:rPr>
        <w:t xml:space="preserve">in </w:t>
      </w:r>
      <w:r w:rsidRPr="00954A92">
        <w:rPr>
          <w:rFonts w:ascii="Arial" w:hAnsi="Arial" w:cs="Arial"/>
          <w:color w:val="010000"/>
          <w:sz w:val="20"/>
        </w:rPr>
        <w:t>2023.</w:t>
      </w:r>
    </w:p>
    <w:p w14:paraId="00000004" w14:textId="2163A069" w:rsidR="00223D57" w:rsidRPr="00954A92" w:rsidRDefault="006C3880" w:rsidP="006C38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Business </w:t>
      </w:r>
      <w:r w:rsidR="00954A92" w:rsidRPr="00954A92">
        <w:rPr>
          <w:rFonts w:ascii="Arial" w:hAnsi="Arial" w:cs="Arial"/>
          <w:color w:val="010000"/>
          <w:sz w:val="20"/>
        </w:rPr>
        <w:t xml:space="preserve">results </w:t>
      </w:r>
      <w:r w:rsidRPr="00954A92">
        <w:rPr>
          <w:rFonts w:ascii="Arial" w:hAnsi="Arial" w:cs="Arial"/>
          <w:color w:val="010000"/>
          <w:sz w:val="20"/>
        </w:rPr>
        <w:t>of 2023:</w:t>
      </w:r>
    </w:p>
    <w:p w14:paraId="00000005" w14:textId="060D9C36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57"/>
          <w:tab w:val="left" w:pos="92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Total revenue: </w:t>
      </w:r>
      <w:proofErr w:type="spellStart"/>
      <w:r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507.376 billion.</w:t>
      </w:r>
    </w:p>
    <w:p w14:paraId="00000006" w14:textId="68E1A556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57"/>
          <w:tab w:val="left" w:pos="92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Consolidated revenue: </w:t>
      </w:r>
      <w:proofErr w:type="spellStart"/>
      <w:r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325,068,405,668, </w:t>
      </w:r>
      <w:r w:rsidR="00954A92" w:rsidRPr="00954A92">
        <w:rPr>
          <w:rFonts w:ascii="Arial" w:hAnsi="Arial" w:cs="Arial"/>
          <w:color w:val="010000"/>
          <w:sz w:val="20"/>
        </w:rPr>
        <w:t>equivalent to</w:t>
      </w:r>
      <w:r w:rsidRPr="00954A92">
        <w:rPr>
          <w:rFonts w:ascii="Arial" w:hAnsi="Arial" w:cs="Arial"/>
          <w:color w:val="010000"/>
          <w:sz w:val="20"/>
        </w:rPr>
        <w:t xml:space="preserve"> 87.86% compared to that of 2022.</w:t>
      </w:r>
    </w:p>
    <w:p w14:paraId="00000007" w14:textId="3A593159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Consolidated profit after tax: </w:t>
      </w:r>
      <w:proofErr w:type="spellStart"/>
      <w:r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34,787,080,343</w:t>
      </w:r>
    </w:p>
    <w:p w14:paraId="00000008" w14:textId="5202BB53" w:rsidR="00223D57" w:rsidRPr="00954A92" w:rsidRDefault="006C3880" w:rsidP="006C38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>Profit distribution in 2023</w:t>
      </w:r>
    </w:p>
    <w:p w14:paraId="00000009" w14:textId="77777777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Total consolidated profit after tax: </w:t>
      </w:r>
      <w:proofErr w:type="spellStart"/>
      <w:r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34,787,080,343</w:t>
      </w:r>
    </w:p>
    <w:p w14:paraId="0000000A" w14:textId="43926DC4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Dividend payment: 45% </w:t>
      </w:r>
      <w:r w:rsidR="00954A92" w:rsidRPr="00954A92">
        <w:rPr>
          <w:rFonts w:ascii="Arial" w:hAnsi="Arial" w:cs="Arial"/>
          <w:color w:val="010000"/>
          <w:sz w:val="20"/>
        </w:rPr>
        <w:t>in</w:t>
      </w:r>
      <w:r w:rsidRPr="00954A92">
        <w:rPr>
          <w:rFonts w:ascii="Arial" w:hAnsi="Arial" w:cs="Arial"/>
          <w:color w:val="010000"/>
          <w:sz w:val="20"/>
        </w:rPr>
        <w:t xml:space="preserve"> cash or bank transfer (</w:t>
      </w:r>
      <w:proofErr w:type="spellStart"/>
      <w:r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4,500/share). Time: From May 15, 2024 to June 15, 2024</w:t>
      </w:r>
      <w:r w:rsidR="00954A92" w:rsidRPr="00954A92">
        <w:rPr>
          <w:rFonts w:ascii="Arial" w:hAnsi="Arial" w:cs="Arial"/>
          <w:color w:val="010000"/>
          <w:sz w:val="20"/>
        </w:rPr>
        <w:t>.</w:t>
      </w:r>
    </w:p>
    <w:p w14:paraId="0000000B" w14:textId="69AE5EC8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The remaining value shall be assigned to the </w:t>
      </w:r>
      <w:r w:rsidR="00954A92" w:rsidRPr="00954A92">
        <w:rPr>
          <w:rFonts w:ascii="Arial" w:hAnsi="Arial" w:cs="Arial"/>
          <w:color w:val="010000"/>
          <w:sz w:val="20"/>
        </w:rPr>
        <w:t>General Manager</w:t>
      </w:r>
      <w:r w:rsidRPr="00954A92">
        <w:rPr>
          <w:rFonts w:ascii="Arial" w:hAnsi="Arial" w:cs="Arial"/>
          <w:color w:val="010000"/>
          <w:sz w:val="20"/>
        </w:rPr>
        <w:t xml:space="preserve"> to </w:t>
      </w:r>
      <w:r w:rsidR="00954A92" w:rsidRPr="00954A92">
        <w:rPr>
          <w:rFonts w:ascii="Arial" w:hAnsi="Arial" w:cs="Arial"/>
          <w:color w:val="010000"/>
          <w:sz w:val="20"/>
        </w:rPr>
        <w:t>make appropriation for</w:t>
      </w:r>
      <w:r w:rsidRPr="00954A92">
        <w:rPr>
          <w:rFonts w:ascii="Arial" w:hAnsi="Arial" w:cs="Arial"/>
          <w:color w:val="010000"/>
          <w:sz w:val="20"/>
        </w:rPr>
        <w:t xml:space="preserve"> funds in accordance with the provisions of the </w:t>
      </w:r>
      <w:r w:rsidR="00954A92" w:rsidRPr="00954A92">
        <w:rPr>
          <w:rFonts w:ascii="Arial" w:hAnsi="Arial" w:cs="Arial"/>
          <w:color w:val="010000"/>
          <w:sz w:val="20"/>
        </w:rPr>
        <w:t xml:space="preserve">Company's </w:t>
      </w:r>
      <w:r w:rsidRPr="00954A92">
        <w:rPr>
          <w:rFonts w:ascii="Arial" w:hAnsi="Arial" w:cs="Arial"/>
          <w:color w:val="010000"/>
          <w:sz w:val="20"/>
        </w:rPr>
        <w:t>charter.</w:t>
      </w:r>
    </w:p>
    <w:p w14:paraId="0000000C" w14:textId="2A0E78BC" w:rsidR="00223D57" w:rsidRPr="00954A92" w:rsidRDefault="006C3880" w:rsidP="006C38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Article 2: Approve the </w:t>
      </w:r>
      <w:r w:rsidR="00954A92" w:rsidRPr="00954A92">
        <w:rPr>
          <w:rFonts w:ascii="Arial" w:hAnsi="Arial" w:cs="Arial"/>
          <w:color w:val="010000"/>
          <w:sz w:val="20"/>
        </w:rPr>
        <w:t xml:space="preserve">production and business plan </w:t>
      </w:r>
      <w:r w:rsidRPr="00954A92">
        <w:rPr>
          <w:rFonts w:ascii="Arial" w:hAnsi="Arial" w:cs="Arial"/>
          <w:color w:val="010000"/>
          <w:sz w:val="20"/>
        </w:rPr>
        <w:t>for 2024</w:t>
      </w:r>
    </w:p>
    <w:p w14:paraId="0000000D" w14:textId="77777777" w:rsidR="00223D57" w:rsidRPr="00954A92" w:rsidRDefault="006C3880" w:rsidP="006C3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>Production and business plan for 2024</w:t>
      </w:r>
    </w:p>
    <w:p w14:paraId="0000000E" w14:textId="495313AB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Revenue: Total revenue: </w:t>
      </w:r>
      <w:proofErr w:type="spellStart"/>
      <w:r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517.5 billion. In which: Van </w:t>
      </w:r>
      <w:proofErr w:type="spellStart"/>
      <w:r w:rsidRPr="00954A92">
        <w:rPr>
          <w:rFonts w:ascii="Arial" w:hAnsi="Arial" w:cs="Arial"/>
          <w:color w:val="010000"/>
          <w:sz w:val="20"/>
        </w:rPr>
        <w:t>Xuan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Company:</w:t>
      </w:r>
      <w:r w:rsidR="00954A92" w:rsidRPr="00954A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954A92"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46.7 billion; Electrical </w:t>
      </w:r>
      <w:r w:rsidR="00954A92" w:rsidRPr="00954A92">
        <w:rPr>
          <w:rFonts w:ascii="Arial" w:hAnsi="Arial" w:cs="Arial"/>
          <w:color w:val="010000"/>
          <w:sz w:val="20"/>
        </w:rPr>
        <w:t>Engineering Company</w:t>
      </w:r>
      <w:r w:rsidRPr="00954A92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="00954A92"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="00954A92" w:rsidRPr="00954A92">
        <w:rPr>
          <w:rFonts w:ascii="Arial" w:hAnsi="Arial" w:cs="Arial"/>
          <w:color w:val="010000"/>
          <w:sz w:val="20"/>
        </w:rPr>
        <w:t xml:space="preserve"> </w:t>
      </w:r>
      <w:r w:rsidRPr="00954A92">
        <w:rPr>
          <w:rFonts w:ascii="Arial" w:hAnsi="Arial" w:cs="Arial"/>
          <w:color w:val="010000"/>
          <w:sz w:val="20"/>
        </w:rPr>
        <w:t xml:space="preserve">24.6 billion; Tam </w:t>
      </w:r>
      <w:proofErr w:type="spellStart"/>
      <w:r w:rsidRPr="00954A92">
        <w:rPr>
          <w:rFonts w:ascii="Arial" w:hAnsi="Arial" w:cs="Arial"/>
          <w:color w:val="010000"/>
          <w:sz w:val="20"/>
        </w:rPr>
        <w:t>Huu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Company</w:t>
      </w:r>
      <w:r w:rsidR="00954A92" w:rsidRPr="00954A92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="00954A92"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155 billion; Mechanical Company: </w:t>
      </w:r>
      <w:proofErr w:type="spellStart"/>
      <w:r w:rsidR="00954A92"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="00954A92" w:rsidRPr="00954A92">
        <w:rPr>
          <w:rFonts w:ascii="Arial" w:hAnsi="Arial" w:cs="Arial"/>
          <w:color w:val="010000"/>
          <w:sz w:val="20"/>
        </w:rPr>
        <w:t xml:space="preserve"> </w:t>
      </w:r>
      <w:r w:rsidRPr="00954A92">
        <w:rPr>
          <w:rFonts w:ascii="Arial" w:hAnsi="Arial" w:cs="Arial"/>
          <w:color w:val="010000"/>
          <w:sz w:val="20"/>
        </w:rPr>
        <w:t xml:space="preserve">95 billion; </w:t>
      </w:r>
      <w:proofErr w:type="spellStart"/>
      <w:r w:rsidRPr="00954A92">
        <w:rPr>
          <w:rFonts w:ascii="Arial" w:hAnsi="Arial" w:cs="Arial"/>
          <w:color w:val="010000"/>
          <w:sz w:val="20"/>
        </w:rPr>
        <w:t>Meinfa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Company: </w:t>
      </w:r>
      <w:proofErr w:type="spellStart"/>
      <w:r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196.2 billion</w:t>
      </w:r>
    </w:p>
    <w:p w14:paraId="0000000F" w14:textId="77777777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Profit after tax: </w:t>
      </w:r>
      <w:proofErr w:type="spellStart"/>
      <w:r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33.07 billion</w:t>
      </w:r>
    </w:p>
    <w:p w14:paraId="00000010" w14:textId="77777777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57"/>
          <w:tab w:val="left" w:pos="30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>Dividends: 40% (</w:t>
      </w:r>
      <w:proofErr w:type="spellStart"/>
      <w:r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4,000/share)</w:t>
      </w:r>
    </w:p>
    <w:p w14:paraId="00000011" w14:textId="77777777" w:rsidR="00223D57" w:rsidRPr="00954A92" w:rsidRDefault="006C3880" w:rsidP="006C3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Investment plan for 2024: </w:t>
      </w:r>
    </w:p>
    <w:p w14:paraId="00000012" w14:textId="77777777" w:rsidR="00223D57" w:rsidRPr="00954A92" w:rsidRDefault="006C3880" w:rsidP="006C3880">
      <w:p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Investment plan </w:t>
      </w:r>
      <w:proofErr w:type="spellStart"/>
      <w:r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5.2 billion, in which:</w:t>
      </w:r>
    </w:p>
    <w:p w14:paraId="00000013" w14:textId="3118CBFB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Van </w:t>
      </w:r>
      <w:proofErr w:type="spellStart"/>
      <w:r w:rsidRPr="00954A92">
        <w:rPr>
          <w:rFonts w:ascii="Arial" w:hAnsi="Arial" w:cs="Arial"/>
          <w:color w:val="010000"/>
          <w:sz w:val="20"/>
        </w:rPr>
        <w:t>Xuan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Company: </w:t>
      </w:r>
      <w:proofErr w:type="spellStart"/>
      <w:r w:rsidR="00954A92"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="00954A92" w:rsidRPr="00954A92">
        <w:rPr>
          <w:rFonts w:ascii="Arial" w:hAnsi="Arial" w:cs="Arial"/>
          <w:color w:val="010000"/>
          <w:sz w:val="20"/>
        </w:rPr>
        <w:t xml:space="preserve"> </w:t>
      </w:r>
      <w:r w:rsidRPr="00954A92">
        <w:rPr>
          <w:rFonts w:ascii="Arial" w:hAnsi="Arial" w:cs="Arial"/>
          <w:color w:val="010000"/>
          <w:sz w:val="20"/>
        </w:rPr>
        <w:t xml:space="preserve">1 billion </w:t>
      </w:r>
      <w:r w:rsidR="00954A92" w:rsidRPr="00954A92">
        <w:rPr>
          <w:rFonts w:ascii="Arial" w:hAnsi="Arial" w:cs="Arial"/>
          <w:color w:val="010000"/>
          <w:sz w:val="20"/>
        </w:rPr>
        <w:t xml:space="preserve">to </w:t>
      </w:r>
      <w:r w:rsidRPr="00954A92">
        <w:rPr>
          <w:rFonts w:ascii="Arial" w:hAnsi="Arial" w:cs="Arial"/>
          <w:color w:val="010000"/>
          <w:sz w:val="20"/>
        </w:rPr>
        <w:t>buy high-tech milling machine, repair German milling machine</w:t>
      </w:r>
    </w:p>
    <w:p w14:paraId="00000014" w14:textId="76A19532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Electrical </w:t>
      </w:r>
      <w:r w:rsidR="00954A92" w:rsidRPr="00954A92">
        <w:rPr>
          <w:rFonts w:ascii="Arial" w:hAnsi="Arial" w:cs="Arial"/>
          <w:color w:val="010000"/>
          <w:sz w:val="20"/>
        </w:rPr>
        <w:t>Engineering Company</w:t>
      </w:r>
      <w:r w:rsidRPr="00954A92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="00954A92"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="00954A92" w:rsidRPr="00954A92">
        <w:rPr>
          <w:rFonts w:ascii="Arial" w:hAnsi="Arial" w:cs="Arial"/>
          <w:color w:val="010000"/>
          <w:sz w:val="20"/>
        </w:rPr>
        <w:t xml:space="preserve"> </w:t>
      </w:r>
      <w:r w:rsidRPr="00954A92">
        <w:rPr>
          <w:rFonts w:ascii="Arial" w:hAnsi="Arial" w:cs="Arial"/>
          <w:color w:val="010000"/>
          <w:sz w:val="20"/>
        </w:rPr>
        <w:t xml:space="preserve">0.7 billion </w:t>
      </w:r>
      <w:r w:rsidR="00954A92" w:rsidRPr="00954A92">
        <w:rPr>
          <w:rFonts w:ascii="Arial" w:hAnsi="Arial" w:cs="Arial"/>
          <w:color w:val="010000"/>
          <w:sz w:val="20"/>
        </w:rPr>
        <w:t>to b</w:t>
      </w:r>
      <w:r w:rsidRPr="00954A92">
        <w:rPr>
          <w:rFonts w:ascii="Arial" w:hAnsi="Arial" w:cs="Arial"/>
          <w:color w:val="010000"/>
          <w:sz w:val="20"/>
        </w:rPr>
        <w:t>uy high-tech lathes and stamping machines</w:t>
      </w:r>
    </w:p>
    <w:p w14:paraId="00000015" w14:textId="7FF8EEC7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Tam </w:t>
      </w:r>
      <w:proofErr w:type="spellStart"/>
      <w:r w:rsidRPr="00954A92">
        <w:rPr>
          <w:rFonts w:ascii="Arial" w:hAnsi="Arial" w:cs="Arial"/>
          <w:color w:val="010000"/>
          <w:sz w:val="20"/>
        </w:rPr>
        <w:t>Huu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Company</w:t>
      </w:r>
      <w:r w:rsidR="00954A92" w:rsidRPr="00954A92">
        <w:rPr>
          <w:rFonts w:ascii="Arial" w:hAnsi="Arial" w:cs="Arial"/>
          <w:color w:val="010000"/>
          <w:sz w:val="20"/>
        </w:rPr>
        <w:t xml:space="preserve">: </w:t>
      </w:r>
      <w:proofErr w:type="spellStart"/>
      <w:r w:rsidR="00954A92"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1 billion </w:t>
      </w:r>
      <w:r w:rsidR="00954A92" w:rsidRPr="00954A92">
        <w:rPr>
          <w:rFonts w:ascii="Arial" w:hAnsi="Arial" w:cs="Arial"/>
          <w:color w:val="010000"/>
          <w:sz w:val="20"/>
        </w:rPr>
        <w:t>to b</w:t>
      </w:r>
      <w:r w:rsidRPr="00954A92">
        <w:rPr>
          <w:rFonts w:ascii="Arial" w:hAnsi="Arial" w:cs="Arial"/>
          <w:color w:val="010000"/>
          <w:sz w:val="20"/>
        </w:rPr>
        <w:t xml:space="preserve">uy </w:t>
      </w:r>
      <w:proofErr w:type="spellStart"/>
      <w:r w:rsidRPr="00954A92">
        <w:rPr>
          <w:rFonts w:ascii="Arial" w:hAnsi="Arial" w:cs="Arial"/>
          <w:color w:val="010000"/>
          <w:sz w:val="20"/>
        </w:rPr>
        <w:t>400KW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furnace, high-tech milling machine, wire cutting machine, </w:t>
      </w:r>
      <w:r w:rsidR="00954A92" w:rsidRPr="00954A92">
        <w:rPr>
          <w:rFonts w:ascii="Arial" w:hAnsi="Arial" w:cs="Arial"/>
          <w:color w:val="010000"/>
          <w:sz w:val="20"/>
        </w:rPr>
        <w:t>80-ton</w:t>
      </w:r>
      <w:r w:rsidRPr="00954A92">
        <w:rPr>
          <w:rFonts w:ascii="Arial" w:hAnsi="Arial" w:cs="Arial"/>
          <w:color w:val="010000"/>
          <w:sz w:val="20"/>
        </w:rPr>
        <w:t xml:space="preserve"> stamping machine</w:t>
      </w:r>
    </w:p>
    <w:p w14:paraId="00000016" w14:textId="520189CA" w:rsidR="00223D57" w:rsidRPr="00954A92" w:rsidRDefault="006C3880" w:rsidP="006C3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Mechanical Company: </w:t>
      </w:r>
      <w:proofErr w:type="spellStart"/>
      <w:r w:rsidR="00954A92" w:rsidRPr="00954A92">
        <w:rPr>
          <w:rFonts w:ascii="Arial" w:hAnsi="Arial" w:cs="Arial"/>
          <w:color w:val="010000"/>
          <w:sz w:val="20"/>
        </w:rPr>
        <w:t>VND</w:t>
      </w:r>
      <w:proofErr w:type="spellEnd"/>
      <w:r w:rsidR="00954A92" w:rsidRPr="00954A92">
        <w:rPr>
          <w:rFonts w:ascii="Arial" w:hAnsi="Arial" w:cs="Arial"/>
          <w:color w:val="010000"/>
          <w:sz w:val="20"/>
        </w:rPr>
        <w:t xml:space="preserve"> </w:t>
      </w:r>
      <w:r w:rsidRPr="00954A92">
        <w:rPr>
          <w:rFonts w:ascii="Arial" w:hAnsi="Arial" w:cs="Arial"/>
          <w:color w:val="010000"/>
          <w:sz w:val="20"/>
        </w:rPr>
        <w:t>1.5 billion</w:t>
      </w:r>
      <w:r w:rsidR="00954A92" w:rsidRPr="00954A92">
        <w:rPr>
          <w:rFonts w:ascii="Arial" w:hAnsi="Arial" w:cs="Arial"/>
          <w:color w:val="010000"/>
          <w:sz w:val="20"/>
        </w:rPr>
        <w:t xml:space="preserve"> to</w:t>
      </w:r>
      <w:r w:rsidRPr="00954A92">
        <w:rPr>
          <w:rFonts w:ascii="Arial" w:hAnsi="Arial" w:cs="Arial"/>
          <w:color w:val="010000"/>
          <w:sz w:val="20"/>
        </w:rPr>
        <w:t xml:space="preserve"> buy high-tech lathe, high-tech milling machine, 300-ton stamping machine</w:t>
      </w:r>
    </w:p>
    <w:p w14:paraId="00000017" w14:textId="2D7CAC39" w:rsidR="00223D57" w:rsidRPr="00954A92" w:rsidRDefault="006C3880" w:rsidP="006C38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>Article 3</w:t>
      </w:r>
      <w:r w:rsidR="00954A92" w:rsidRPr="00954A92">
        <w:rPr>
          <w:rFonts w:ascii="Arial" w:hAnsi="Arial" w:cs="Arial"/>
          <w:color w:val="010000"/>
          <w:sz w:val="20"/>
        </w:rPr>
        <w:t>:</w:t>
      </w:r>
      <w:r w:rsidRPr="00954A92">
        <w:rPr>
          <w:rFonts w:ascii="Arial" w:hAnsi="Arial" w:cs="Arial"/>
          <w:color w:val="010000"/>
          <w:sz w:val="20"/>
        </w:rPr>
        <w:t xml:space="preserve"> Approve the </w:t>
      </w:r>
      <w:r w:rsidR="00954A92" w:rsidRPr="00954A92">
        <w:rPr>
          <w:rFonts w:ascii="Arial" w:hAnsi="Arial" w:cs="Arial"/>
          <w:color w:val="010000"/>
          <w:sz w:val="20"/>
        </w:rPr>
        <w:t xml:space="preserve">Report </w:t>
      </w:r>
      <w:r w:rsidRPr="00954A92">
        <w:rPr>
          <w:rFonts w:ascii="Arial" w:hAnsi="Arial" w:cs="Arial"/>
          <w:color w:val="010000"/>
          <w:sz w:val="20"/>
        </w:rPr>
        <w:t>on activities of the Board of Directors and</w:t>
      </w:r>
      <w:r w:rsidR="00954A92" w:rsidRPr="00954A92">
        <w:rPr>
          <w:rFonts w:ascii="Arial" w:hAnsi="Arial" w:cs="Arial"/>
          <w:color w:val="010000"/>
          <w:sz w:val="20"/>
        </w:rPr>
        <w:t xml:space="preserve"> the General</w:t>
      </w:r>
      <w:r w:rsidRPr="00954A92">
        <w:rPr>
          <w:rFonts w:ascii="Arial" w:hAnsi="Arial" w:cs="Arial"/>
          <w:color w:val="010000"/>
          <w:sz w:val="20"/>
        </w:rPr>
        <w:t xml:space="preserve"> Manager </w:t>
      </w:r>
      <w:r w:rsidR="00954A92" w:rsidRPr="00954A92">
        <w:rPr>
          <w:rFonts w:ascii="Arial" w:hAnsi="Arial" w:cs="Arial"/>
          <w:color w:val="010000"/>
          <w:sz w:val="20"/>
        </w:rPr>
        <w:t xml:space="preserve">in </w:t>
      </w:r>
      <w:r w:rsidRPr="00954A92">
        <w:rPr>
          <w:rFonts w:ascii="Arial" w:hAnsi="Arial" w:cs="Arial"/>
          <w:color w:val="010000"/>
          <w:sz w:val="20"/>
        </w:rPr>
        <w:t>2023.</w:t>
      </w:r>
    </w:p>
    <w:p w14:paraId="00000018" w14:textId="33226E9F" w:rsidR="00223D57" w:rsidRPr="00954A92" w:rsidRDefault="006C3880" w:rsidP="006C38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lastRenderedPageBreak/>
        <w:t>Article 4</w:t>
      </w:r>
      <w:r w:rsidR="00954A92" w:rsidRPr="00954A92">
        <w:rPr>
          <w:rFonts w:ascii="Arial" w:hAnsi="Arial" w:cs="Arial"/>
          <w:color w:val="010000"/>
          <w:sz w:val="20"/>
        </w:rPr>
        <w:t>:</w:t>
      </w:r>
      <w:r w:rsidRPr="00954A92">
        <w:rPr>
          <w:rFonts w:ascii="Arial" w:hAnsi="Arial" w:cs="Arial"/>
          <w:color w:val="010000"/>
          <w:sz w:val="20"/>
        </w:rPr>
        <w:t xml:space="preserve"> Approve the </w:t>
      </w:r>
      <w:r w:rsidR="00954A92" w:rsidRPr="00954A92">
        <w:rPr>
          <w:rFonts w:ascii="Arial" w:hAnsi="Arial" w:cs="Arial"/>
          <w:color w:val="010000"/>
          <w:sz w:val="20"/>
        </w:rPr>
        <w:t xml:space="preserve">Report </w:t>
      </w:r>
      <w:r w:rsidRPr="00954A92">
        <w:rPr>
          <w:rFonts w:ascii="Arial" w:hAnsi="Arial" w:cs="Arial"/>
          <w:color w:val="010000"/>
          <w:sz w:val="20"/>
        </w:rPr>
        <w:t xml:space="preserve">of the Supervisory Board on the Company's </w:t>
      </w:r>
      <w:r w:rsidR="00954A92" w:rsidRPr="00954A92">
        <w:rPr>
          <w:rFonts w:ascii="Arial" w:hAnsi="Arial" w:cs="Arial"/>
          <w:color w:val="010000"/>
          <w:sz w:val="20"/>
        </w:rPr>
        <w:t>production and business</w:t>
      </w:r>
      <w:r w:rsidRPr="00954A92">
        <w:rPr>
          <w:rFonts w:ascii="Arial" w:hAnsi="Arial" w:cs="Arial"/>
          <w:color w:val="010000"/>
          <w:sz w:val="20"/>
        </w:rPr>
        <w:t xml:space="preserve"> results; </w:t>
      </w:r>
      <w:r w:rsidR="00954A92" w:rsidRPr="00954A92">
        <w:rPr>
          <w:rFonts w:ascii="Arial" w:hAnsi="Arial" w:cs="Arial"/>
          <w:color w:val="010000"/>
          <w:sz w:val="20"/>
        </w:rPr>
        <w:t>operating</w:t>
      </w:r>
      <w:r w:rsidRPr="00954A92">
        <w:rPr>
          <w:rFonts w:ascii="Arial" w:hAnsi="Arial" w:cs="Arial"/>
          <w:color w:val="010000"/>
          <w:sz w:val="20"/>
        </w:rPr>
        <w:t xml:space="preserve"> results of the Board of Directors, </w:t>
      </w:r>
      <w:r w:rsidR="00954A92" w:rsidRPr="00954A92">
        <w:rPr>
          <w:rFonts w:ascii="Arial" w:hAnsi="Arial" w:cs="Arial"/>
          <w:color w:val="010000"/>
          <w:sz w:val="20"/>
        </w:rPr>
        <w:t xml:space="preserve">the General Manager </w:t>
      </w:r>
      <w:r w:rsidRPr="00954A92">
        <w:rPr>
          <w:rFonts w:ascii="Arial" w:hAnsi="Arial" w:cs="Arial"/>
          <w:color w:val="010000"/>
          <w:sz w:val="20"/>
        </w:rPr>
        <w:t xml:space="preserve">and </w:t>
      </w:r>
      <w:r w:rsidR="00954A92" w:rsidRPr="00954A92">
        <w:rPr>
          <w:rFonts w:ascii="Arial" w:hAnsi="Arial" w:cs="Arial"/>
          <w:color w:val="010000"/>
          <w:sz w:val="20"/>
        </w:rPr>
        <w:t xml:space="preserve">the </w:t>
      </w:r>
      <w:r w:rsidRPr="00954A92">
        <w:rPr>
          <w:rFonts w:ascii="Arial" w:hAnsi="Arial" w:cs="Arial"/>
          <w:color w:val="010000"/>
          <w:sz w:val="20"/>
        </w:rPr>
        <w:t xml:space="preserve">Supervisory Board </w:t>
      </w:r>
      <w:r w:rsidR="00954A92" w:rsidRPr="00954A92">
        <w:rPr>
          <w:rFonts w:ascii="Arial" w:hAnsi="Arial" w:cs="Arial"/>
          <w:color w:val="010000"/>
          <w:sz w:val="20"/>
        </w:rPr>
        <w:t xml:space="preserve">in </w:t>
      </w:r>
      <w:r w:rsidRPr="00954A92">
        <w:rPr>
          <w:rFonts w:ascii="Arial" w:hAnsi="Arial" w:cs="Arial"/>
          <w:color w:val="010000"/>
          <w:sz w:val="20"/>
        </w:rPr>
        <w:t>2023.</w:t>
      </w:r>
    </w:p>
    <w:p w14:paraId="0000001A" w14:textId="4D1A94D8" w:rsidR="00223D57" w:rsidRPr="00954A92" w:rsidRDefault="006C3880" w:rsidP="006C38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>Article 5</w:t>
      </w:r>
      <w:r w:rsidR="00954A92" w:rsidRPr="00954A92">
        <w:rPr>
          <w:rFonts w:ascii="Arial" w:hAnsi="Arial" w:cs="Arial"/>
          <w:color w:val="010000"/>
          <w:sz w:val="20"/>
        </w:rPr>
        <w:t>:</w:t>
      </w:r>
      <w:r w:rsidRPr="00954A92">
        <w:rPr>
          <w:rFonts w:ascii="Arial" w:hAnsi="Arial" w:cs="Arial"/>
          <w:color w:val="010000"/>
          <w:sz w:val="20"/>
        </w:rPr>
        <w:t xml:space="preserve"> This </w:t>
      </w:r>
      <w:r w:rsidR="00954A92" w:rsidRPr="00954A92">
        <w:rPr>
          <w:rFonts w:ascii="Arial" w:hAnsi="Arial" w:cs="Arial"/>
          <w:color w:val="010000"/>
          <w:sz w:val="20"/>
        </w:rPr>
        <w:t>General Manager</w:t>
      </w:r>
      <w:r w:rsidRPr="00954A92">
        <w:rPr>
          <w:rFonts w:ascii="Arial" w:hAnsi="Arial" w:cs="Arial"/>
          <w:color w:val="010000"/>
          <w:sz w:val="20"/>
        </w:rPr>
        <w:t xml:space="preserve"> </w:t>
      </w:r>
      <w:r w:rsidR="00954A92" w:rsidRPr="00954A92">
        <w:rPr>
          <w:rFonts w:ascii="Arial" w:hAnsi="Arial" w:cs="Arial"/>
          <w:color w:val="010000"/>
          <w:sz w:val="20"/>
        </w:rPr>
        <w:t>was</w:t>
      </w:r>
      <w:r w:rsidRPr="00954A92">
        <w:rPr>
          <w:rFonts w:ascii="Arial" w:hAnsi="Arial" w:cs="Arial"/>
          <w:color w:val="010000"/>
          <w:sz w:val="20"/>
        </w:rPr>
        <w:t xml:space="preserve"> approved by the Annual General Meeting of Shareholders 2024</w:t>
      </w:r>
      <w:r w:rsidR="00954A92" w:rsidRPr="00954A92">
        <w:rPr>
          <w:rFonts w:ascii="Arial" w:eastAsia="Arial" w:hAnsi="Arial" w:cs="Arial"/>
          <w:color w:val="010000"/>
          <w:sz w:val="20"/>
          <w:szCs w:val="20"/>
        </w:rPr>
        <w:t xml:space="preserve"> of </w:t>
      </w:r>
      <w:proofErr w:type="spellStart"/>
      <w:r w:rsidRPr="00954A92">
        <w:rPr>
          <w:rFonts w:ascii="Arial" w:hAnsi="Arial" w:cs="Arial"/>
          <w:color w:val="010000"/>
          <w:sz w:val="20"/>
        </w:rPr>
        <w:t>MEINFA</w:t>
      </w:r>
      <w:proofErr w:type="spellEnd"/>
      <w:r w:rsidRPr="00954A92">
        <w:rPr>
          <w:rFonts w:ascii="Arial" w:hAnsi="Arial" w:cs="Arial"/>
          <w:color w:val="010000"/>
          <w:sz w:val="20"/>
        </w:rPr>
        <w:t xml:space="preserve"> Joint Stock Company at 11:00</w:t>
      </w:r>
      <w:r w:rsidR="00954A92" w:rsidRPr="00954A92">
        <w:rPr>
          <w:rFonts w:ascii="Arial" w:hAnsi="Arial" w:cs="Arial"/>
          <w:color w:val="010000"/>
          <w:sz w:val="20"/>
        </w:rPr>
        <w:t xml:space="preserve"> a.m.</w:t>
      </w:r>
      <w:r w:rsidRPr="00954A92">
        <w:rPr>
          <w:rFonts w:ascii="Arial" w:hAnsi="Arial" w:cs="Arial"/>
          <w:color w:val="010000"/>
          <w:sz w:val="20"/>
        </w:rPr>
        <w:t xml:space="preserve"> on April 21, 2024</w:t>
      </w:r>
    </w:p>
    <w:p w14:paraId="0000001B" w14:textId="33E6D8B0" w:rsidR="00223D57" w:rsidRPr="00954A92" w:rsidRDefault="006C3880" w:rsidP="006C38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54A92">
        <w:rPr>
          <w:rFonts w:ascii="Arial" w:hAnsi="Arial" w:cs="Arial"/>
          <w:color w:val="010000"/>
          <w:sz w:val="20"/>
        </w:rPr>
        <w:t xml:space="preserve">Assign the Board of Directors to organize the implementation of the </w:t>
      </w:r>
      <w:r w:rsidR="00954A92" w:rsidRPr="00954A92">
        <w:rPr>
          <w:rFonts w:ascii="Arial" w:hAnsi="Arial" w:cs="Arial"/>
          <w:color w:val="010000"/>
          <w:sz w:val="20"/>
        </w:rPr>
        <w:t>General Mandate</w:t>
      </w:r>
      <w:r w:rsidRPr="00954A92">
        <w:rPr>
          <w:rFonts w:ascii="Arial" w:hAnsi="Arial" w:cs="Arial"/>
          <w:color w:val="010000"/>
          <w:sz w:val="20"/>
        </w:rPr>
        <w:t xml:space="preserve"> of the Company in accordance with the law and the </w:t>
      </w:r>
      <w:r w:rsidR="00954A92" w:rsidRPr="00954A92">
        <w:rPr>
          <w:rFonts w:ascii="Arial" w:hAnsi="Arial" w:cs="Arial"/>
          <w:color w:val="010000"/>
          <w:sz w:val="20"/>
        </w:rPr>
        <w:t xml:space="preserve">Company's </w:t>
      </w:r>
      <w:r w:rsidRPr="00954A92">
        <w:rPr>
          <w:rFonts w:ascii="Arial" w:hAnsi="Arial" w:cs="Arial"/>
          <w:color w:val="010000"/>
          <w:sz w:val="20"/>
        </w:rPr>
        <w:t xml:space="preserve">charter. The Board of Directors is responsible for reporting the results of the implementation of this </w:t>
      </w:r>
      <w:r w:rsidR="00954A92" w:rsidRPr="00954A92">
        <w:rPr>
          <w:rFonts w:ascii="Arial" w:hAnsi="Arial" w:cs="Arial"/>
          <w:color w:val="010000"/>
          <w:sz w:val="20"/>
        </w:rPr>
        <w:t>General Mandate</w:t>
      </w:r>
      <w:r w:rsidRPr="00954A92">
        <w:rPr>
          <w:rFonts w:ascii="Arial" w:hAnsi="Arial" w:cs="Arial"/>
          <w:color w:val="010000"/>
          <w:sz w:val="20"/>
        </w:rPr>
        <w:t xml:space="preserve"> to the </w:t>
      </w:r>
      <w:r w:rsidR="00954A92" w:rsidRPr="00954A92">
        <w:rPr>
          <w:rFonts w:ascii="Arial" w:hAnsi="Arial" w:cs="Arial"/>
          <w:color w:val="010000"/>
          <w:sz w:val="20"/>
        </w:rPr>
        <w:t>General Meeting of Shareholders</w:t>
      </w:r>
      <w:r w:rsidRPr="00954A92">
        <w:rPr>
          <w:rFonts w:ascii="Arial" w:hAnsi="Arial" w:cs="Arial"/>
          <w:color w:val="010000"/>
          <w:sz w:val="20"/>
        </w:rPr>
        <w:t xml:space="preserve"> during annual meetings.</w:t>
      </w:r>
    </w:p>
    <w:sectPr w:rsidR="00223D57" w:rsidRPr="00954A92" w:rsidSect="006C3880">
      <w:pgSz w:w="11900" w:h="16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30BF9"/>
    <w:multiLevelType w:val="multilevel"/>
    <w:tmpl w:val="08646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473836"/>
    <w:multiLevelType w:val="multilevel"/>
    <w:tmpl w:val="18049F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08402C"/>
    <w:multiLevelType w:val="multilevel"/>
    <w:tmpl w:val="CCFC634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57"/>
    <w:rsid w:val="00223D57"/>
    <w:rsid w:val="006C3880"/>
    <w:rsid w:val="00954A92"/>
    <w:rsid w:val="00D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40A21"/>
  <w15:docId w15:val="{DE082472-F80D-43BF-B32E-2D2FD5AE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D51859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80" w:line="252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line="221" w:lineRule="auto"/>
    </w:pPr>
    <w:rPr>
      <w:rFonts w:ascii="Arial" w:eastAsia="Arial" w:hAnsi="Arial" w:cs="Arial"/>
      <w:sz w:val="8"/>
      <w:szCs w:val="8"/>
    </w:rPr>
  </w:style>
  <w:style w:type="paragraph" w:customStyle="1" w:styleId="Bodytext50">
    <w:name w:val="Body text (5)"/>
    <w:basedOn w:val="Normal"/>
    <w:link w:val="Bodytext5"/>
    <w:pPr>
      <w:spacing w:line="180" w:lineRule="auto"/>
    </w:pPr>
    <w:rPr>
      <w:rFonts w:ascii="Arial" w:eastAsia="Arial" w:hAnsi="Arial" w:cs="Arial"/>
      <w:smallCaps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after="80" w:line="252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156" w:lineRule="auto"/>
      <w:ind w:left="5860" w:right="1140"/>
      <w:jc w:val="right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Heading11">
    <w:name w:val="Heading #1"/>
    <w:basedOn w:val="Normal"/>
    <w:link w:val="Heading10"/>
    <w:pPr>
      <w:spacing w:after="60" w:line="230" w:lineRule="auto"/>
      <w:ind w:left="6380"/>
      <w:outlineLvl w:val="0"/>
    </w:pPr>
    <w:rPr>
      <w:rFonts w:ascii="Arial" w:eastAsia="Arial" w:hAnsi="Arial" w:cs="Arial"/>
      <w:color w:val="D51859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YDiNCQwaWR6vd46vI4z7JMjcCg==">CgMxLjAyCGguZ2pkZ3hzOAByITFOUHJzT015SDRGUnZSQTlXMzlnMkVfWlBXSHc1RkZrYQ==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2024-04-26T03:54:00Z</dcterms:created>
  <dcterms:modified xsi:type="dcterms:W3CDTF">2024-04-26T03:54:00Z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84260a88ea5ee88f60d83d1748ea703b8317f3a5ef3910790adeb495ff4d4870</vt:lpwstr>
  </property>
</Properties>
</file>