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2DFEB" w14:textId="77777777" w:rsidR="00337287" w:rsidRPr="009770C7" w:rsidRDefault="0069044C" w:rsidP="0069044C">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9770C7">
        <w:rPr>
          <w:rFonts w:ascii="Arial" w:hAnsi="Arial" w:cs="Arial"/>
          <w:b/>
          <w:color w:val="010000"/>
          <w:sz w:val="20"/>
        </w:rPr>
        <w:t>PJS</w:t>
      </w:r>
      <w:proofErr w:type="spellEnd"/>
      <w:r w:rsidRPr="009770C7">
        <w:rPr>
          <w:rFonts w:ascii="Arial" w:hAnsi="Arial" w:cs="Arial"/>
          <w:b/>
          <w:color w:val="010000"/>
          <w:sz w:val="20"/>
        </w:rPr>
        <w:t>: Annual General Mandate 2024</w:t>
      </w:r>
    </w:p>
    <w:p w14:paraId="5285467C" w14:textId="470BC683"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On April 2</w:t>
      </w:r>
      <w:r w:rsidR="009770C7" w:rsidRPr="009770C7">
        <w:rPr>
          <w:rFonts w:ascii="Arial" w:hAnsi="Arial" w:cs="Arial"/>
          <w:color w:val="010000"/>
          <w:sz w:val="20"/>
        </w:rPr>
        <w:t>2</w:t>
      </w:r>
      <w:r w:rsidRPr="009770C7">
        <w:rPr>
          <w:rFonts w:ascii="Arial" w:hAnsi="Arial" w:cs="Arial"/>
          <w:color w:val="010000"/>
          <w:sz w:val="20"/>
        </w:rPr>
        <w:t xml:space="preserve">, 2023, </w:t>
      </w:r>
      <w:proofErr w:type="spellStart"/>
      <w:r w:rsidRPr="009770C7">
        <w:rPr>
          <w:rFonts w:ascii="Arial" w:hAnsi="Arial" w:cs="Arial"/>
          <w:color w:val="010000"/>
          <w:sz w:val="20"/>
        </w:rPr>
        <w:t>Phu</w:t>
      </w:r>
      <w:proofErr w:type="spellEnd"/>
      <w:r w:rsidRPr="009770C7">
        <w:rPr>
          <w:rFonts w:ascii="Arial" w:hAnsi="Arial" w:cs="Arial"/>
          <w:color w:val="010000"/>
          <w:sz w:val="20"/>
        </w:rPr>
        <w:t xml:space="preserve"> </w:t>
      </w:r>
      <w:proofErr w:type="spellStart"/>
      <w:r w:rsidRPr="009770C7">
        <w:rPr>
          <w:rFonts w:ascii="Arial" w:hAnsi="Arial" w:cs="Arial"/>
          <w:color w:val="010000"/>
          <w:sz w:val="20"/>
        </w:rPr>
        <w:t>Hoa</w:t>
      </w:r>
      <w:proofErr w:type="spellEnd"/>
      <w:r w:rsidRPr="009770C7">
        <w:rPr>
          <w:rFonts w:ascii="Arial" w:hAnsi="Arial" w:cs="Arial"/>
          <w:color w:val="010000"/>
          <w:sz w:val="20"/>
        </w:rPr>
        <w:t xml:space="preserve"> Tan Water Supply Joint Stock Company announced General Mandate No. 105/NQ-</w:t>
      </w:r>
      <w:proofErr w:type="spellStart"/>
      <w:r w:rsidRPr="009770C7">
        <w:rPr>
          <w:rFonts w:ascii="Arial" w:hAnsi="Arial" w:cs="Arial"/>
          <w:color w:val="010000"/>
          <w:sz w:val="20"/>
        </w:rPr>
        <w:t>PHT</w:t>
      </w:r>
      <w:proofErr w:type="spellEnd"/>
      <w:r w:rsidRPr="009770C7">
        <w:rPr>
          <w:rFonts w:ascii="Arial" w:hAnsi="Arial" w:cs="Arial"/>
          <w:color w:val="010000"/>
          <w:sz w:val="20"/>
        </w:rPr>
        <w:t>-</w:t>
      </w:r>
      <w:proofErr w:type="spellStart"/>
      <w:r w:rsidRPr="009770C7">
        <w:rPr>
          <w:rFonts w:ascii="Arial" w:hAnsi="Arial" w:cs="Arial"/>
          <w:color w:val="010000"/>
          <w:sz w:val="20"/>
        </w:rPr>
        <w:t>DHDCD</w:t>
      </w:r>
      <w:proofErr w:type="spellEnd"/>
      <w:r w:rsidRPr="009770C7">
        <w:rPr>
          <w:rFonts w:ascii="Arial" w:hAnsi="Arial" w:cs="Arial"/>
          <w:color w:val="010000"/>
          <w:sz w:val="20"/>
        </w:rPr>
        <w:t xml:space="preserve"> as follows: </w:t>
      </w:r>
    </w:p>
    <w:p w14:paraId="5DEDF6A9"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1. Approve the report on production and business activities and the audited Financial Statements 2023 with the following main targets:</w:t>
      </w:r>
    </w:p>
    <w:tbl>
      <w:tblPr>
        <w:tblStyle w:val="a"/>
        <w:tblW w:w="5000" w:type="pct"/>
        <w:tblLook w:val="0400" w:firstRow="0" w:lastRow="0" w:firstColumn="0" w:lastColumn="0" w:noHBand="0" w:noVBand="1"/>
      </w:tblPr>
      <w:tblGrid>
        <w:gridCol w:w="5245"/>
        <w:gridCol w:w="3782"/>
      </w:tblGrid>
      <w:tr w:rsidR="00337287" w:rsidRPr="009770C7" w14:paraId="2208A9CA" w14:textId="77777777" w:rsidTr="0069044C">
        <w:tc>
          <w:tcPr>
            <w:tcW w:w="2905" w:type="pct"/>
            <w:shd w:val="clear" w:color="auto" w:fill="auto"/>
            <w:tcMar>
              <w:top w:w="0" w:type="dxa"/>
              <w:bottom w:w="0" w:type="dxa"/>
            </w:tcMar>
            <w:vAlign w:val="center"/>
          </w:tcPr>
          <w:p w14:paraId="0D1C95A7" w14:textId="77777777" w:rsidR="00337287" w:rsidRPr="009770C7" w:rsidRDefault="0069044C" w:rsidP="0069044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Consumption water</w:t>
            </w:r>
          </w:p>
        </w:tc>
        <w:tc>
          <w:tcPr>
            <w:tcW w:w="2095" w:type="pct"/>
            <w:shd w:val="clear" w:color="auto" w:fill="auto"/>
            <w:tcMar>
              <w:top w:w="0" w:type="dxa"/>
              <w:bottom w:w="0" w:type="dxa"/>
            </w:tcMar>
            <w:vAlign w:val="center"/>
          </w:tcPr>
          <w:p w14:paraId="1CA5DC7F"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33,318,000 </w:t>
            </w:r>
            <w:proofErr w:type="spellStart"/>
            <w:r w:rsidRPr="009770C7">
              <w:rPr>
                <w:rFonts w:ascii="Arial" w:hAnsi="Arial" w:cs="Arial"/>
                <w:color w:val="010000"/>
                <w:sz w:val="20"/>
              </w:rPr>
              <w:t>m3</w:t>
            </w:r>
            <w:proofErr w:type="spellEnd"/>
          </w:p>
        </w:tc>
      </w:tr>
      <w:tr w:rsidR="00337287" w:rsidRPr="009770C7" w14:paraId="25573F8C" w14:textId="77777777" w:rsidTr="0069044C">
        <w:tc>
          <w:tcPr>
            <w:tcW w:w="2905" w:type="pct"/>
            <w:shd w:val="clear" w:color="auto" w:fill="auto"/>
            <w:tcMar>
              <w:top w:w="0" w:type="dxa"/>
              <w:bottom w:w="0" w:type="dxa"/>
            </w:tcMar>
            <w:vAlign w:val="center"/>
          </w:tcPr>
          <w:p w14:paraId="41665FF5" w14:textId="77777777" w:rsidR="00337287" w:rsidRPr="009770C7" w:rsidRDefault="0069044C" w:rsidP="0069044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Total revenue:</w:t>
            </w:r>
          </w:p>
        </w:tc>
        <w:tc>
          <w:tcPr>
            <w:tcW w:w="2095" w:type="pct"/>
            <w:shd w:val="clear" w:color="auto" w:fill="auto"/>
            <w:tcMar>
              <w:top w:w="0" w:type="dxa"/>
              <w:bottom w:w="0" w:type="dxa"/>
            </w:tcMar>
            <w:vAlign w:val="center"/>
          </w:tcPr>
          <w:p w14:paraId="0F7C0EFA"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413,536 million</w:t>
            </w:r>
          </w:p>
        </w:tc>
      </w:tr>
      <w:tr w:rsidR="00337287" w:rsidRPr="009770C7" w14:paraId="28C5BB0F" w14:textId="77777777" w:rsidTr="0069044C">
        <w:tc>
          <w:tcPr>
            <w:tcW w:w="2905" w:type="pct"/>
            <w:shd w:val="clear" w:color="auto" w:fill="auto"/>
            <w:tcMar>
              <w:top w:w="0" w:type="dxa"/>
              <w:bottom w:w="0" w:type="dxa"/>
            </w:tcMar>
            <w:vAlign w:val="center"/>
          </w:tcPr>
          <w:p w14:paraId="1F2DB694" w14:textId="77777777" w:rsidR="00337287" w:rsidRPr="009770C7" w:rsidRDefault="0069044C" w:rsidP="0069044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Total profit after tax:</w:t>
            </w:r>
          </w:p>
        </w:tc>
        <w:tc>
          <w:tcPr>
            <w:tcW w:w="2095" w:type="pct"/>
            <w:shd w:val="clear" w:color="auto" w:fill="auto"/>
            <w:tcMar>
              <w:top w:w="0" w:type="dxa"/>
              <w:bottom w:w="0" w:type="dxa"/>
            </w:tcMar>
            <w:vAlign w:val="center"/>
          </w:tcPr>
          <w:p w14:paraId="37C201A4"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19,598 million;</w:t>
            </w:r>
          </w:p>
        </w:tc>
      </w:tr>
      <w:tr w:rsidR="00337287" w:rsidRPr="009770C7" w14:paraId="5E428E1F" w14:textId="77777777" w:rsidTr="0069044C">
        <w:tc>
          <w:tcPr>
            <w:tcW w:w="2905" w:type="pct"/>
            <w:shd w:val="clear" w:color="auto" w:fill="auto"/>
            <w:tcMar>
              <w:top w:w="0" w:type="dxa"/>
              <w:bottom w:w="0" w:type="dxa"/>
            </w:tcMar>
            <w:vAlign w:val="center"/>
          </w:tcPr>
          <w:p w14:paraId="44A5F70E" w14:textId="77777777" w:rsidR="00337287" w:rsidRPr="009770C7" w:rsidRDefault="0069044C" w:rsidP="0069044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Profit after tax/Charter capital:</w:t>
            </w:r>
          </w:p>
        </w:tc>
        <w:tc>
          <w:tcPr>
            <w:tcW w:w="2095" w:type="pct"/>
            <w:shd w:val="clear" w:color="auto" w:fill="auto"/>
            <w:tcMar>
              <w:top w:w="0" w:type="dxa"/>
              <w:bottom w:w="0" w:type="dxa"/>
            </w:tcMar>
            <w:vAlign w:val="center"/>
          </w:tcPr>
          <w:p w14:paraId="2E03AE4D"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16.37%</w:t>
            </w:r>
          </w:p>
        </w:tc>
      </w:tr>
    </w:tbl>
    <w:p w14:paraId="3A532669"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2. Approve the dividend payment and profit distribution in 2023.</w:t>
      </w:r>
    </w:p>
    <w:p w14:paraId="22F55A3F" w14:textId="77777777" w:rsidR="00337287" w:rsidRPr="009770C7" w:rsidRDefault="0069044C" w:rsidP="0069044C">
      <w:pPr>
        <w:numPr>
          <w:ilvl w:val="0"/>
          <w:numId w:val="6"/>
        </w:numPr>
        <w:pBdr>
          <w:top w:val="nil"/>
          <w:left w:val="nil"/>
          <w:bottom w:val="nil"/>
          <w:right w:val="nil"/>
          <w:between w:val="nil"/>
        </w:pBdr>
        <w:tabs>
          <w:tab w:val="left" w:pos="432"/>
          <w:tab w:val="left" w:pos="1031"/>
          <w:tab w:val="left" w:pos="6359"/>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Dividend payment level 8.0% = </w:t>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800/share</w:t>
      </w:r>
    </w:p>
    <w:p w14:paraId="3993DD08" w14:textId="77777777" w:rsidR="00337287" w:rsidRPr="009770C7" w:rsidRDefault="0069044C" w:rsidP="0069044C">
      <w:pPr>
        <w:numPr>
          <w:ilvl w:val="0"/>
          <w:numId w:val="6"/>
        </w:numPr>
        <w:pBdr>
          <w:top w:val="nil"/>
          <w:left w:val="nil"/>
          <w:bottom w:val="nil"/>
          <w:right w:val="nil"/>
          <w:between w:val="nil"/>
        </w:pBdr>
        <w:tabs>
          <w:tab w:val="left" w:pos="432"/>
          <w:tab w:val="left" w:pos="1017"/>
          <w:tab w:val="left" w:pos="6287"/>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Undistributed profit after tax in 2023: </w:t>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13,651,812,984</w:t>
      </w:r>
    </w:p>
    <w:p w14:paraId="789353F2" w14:textId="29CB6E73" w:rsidR="00337287" w:rsidRPr="009770C7" w:rsidRDefault="0069044C" w:rsidP="0069044C">
      <w:pPr>
        <w:pBdr>
          <w:top w:val="nil"/>
          <w:left w:val="nil"/>
          <w:bottom w:val="nil"/>
          <w:right w:val="nil"/>
          <w:between w:val="nil"/>
        </w:pBdr>
        <w:tabs>
          <w:tab w:val="left" w:pos="5179"/>
        </w:tabs>
        <w:spacing w:after="120" w:line="360" w:lineRule="auto"/>
        <w:rPr>
          <w:rFonts w:ascii="Arial" w:eastAsia="Arial" w:hAnsi="Arial" w:cs="Arial"/>
          <w:color w:val="010000"/>
          <w:sz w:val="20"/>
          <w:szCs w:val="20"/>
        </w:rPr>
      </w:pPr>
      <w:r w:rsidRPr="009770C7">
        <w:rPr>
          <w:rFonts w:ascii="Arial" w:hAnsi="Arial" w:cs="Arial"/>
          <w:color w:val="010000"/>
          <w:sz w:val="20"/>
        </w:rPr>
        <w:t>Accumulated undistributed profit after tax by 2022</w:t>
      </w:r>
      <w:r w:rsidR="009770C7" w:rsidRPr="009770C7">
        <w:rPr>
          <w:rFonts w:ascii="Arial" w:hAnsi="Arial" w:cs="Arial"/>
          <w:color w:val="010000"/>
          <w:sz w:val="20"/>
        </w:rPr>
        <w:t>:</w:t>
      </w:r>
      <w:r w:rsidRPr="009770C7">
        <w:rPr>
          <w:rFonts w:ascii="Arial" w:hAnsi="Arial" w:cs="Arial"/>
          <w:color w:val="010000"/>
          <w:sz w:val="20"/>
        </w:rPr>
        <w:t xml:space="preserve"> (</w:t>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5,946,623,143)</w:t>
      </w:r>
    </w:p>
    <w:tbl>
      <w:tblPr>
        <w:tblStyle w:val="a0"/>
        <w:tblW w:w="5000" w:type="pct"/>
        <w:tblLook w:val="0400" w:firstRow="0" w:lastRow="0" w:firstColumn="0" w:lastColumn="0" w:noHBand="0" w:noVBand="1"/>
      </w:tblPr>
      <w:tblGrid>
        <w:gridCol w:w="5245"/>
        <w:gridCol w:w="3782"/>
      </w:tblGrid>
      <w:tr w:rsidR="00337287" w:rsidRPr="009770C7" w14:paraId="1D565B35" w14:textId="77777777" w:rsidTr="0069044C">
        <w:tc>
          <w:tcPr>
            <w:tcW w:w="2905" w:type="pct"/>
            <w:shd w:val="clear" w:color="auto" w:fill="auto"/>
            <w:tcMar>
              <w:top w:w="0" w:type="dxa"/>
              <w:bottom w:w="0" w:type="dxa"/>
            </w:tcMar>
            <w:vAlign w:val="center"/>
          </w:tcPr>
          <w:p w14:paraId="4708552A" w14:textId="77777777" w:rsidR="00337287" w:rsidRPr="009770C7" w:rsidRDefault="0069044C" w:rsidP="0069044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Profit after tax in 2023:</w:t>
            </w:r>
          </w:p>
        </w:tc>
        <w:tc>
          <w:tcPr>
            <w:tcW w:w="2095" w:type="pct"/>
            <w:shd w:val="clear" w:color="auto" w:fill="auto"/>
            <w:tcMar>
              <w:top w:w="0" w:type="dxa"/>
              <w:bottom w:w="0" w:type="dxa"/>
            </w:tcMar>
            <w:vAlign w:val="center"/>
          </w:tcPr>
          <w:p w14:paraId="25B7F59D"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19,598,436,127</w:t>
            </w:r>
          </w:p>
        </w:tc>
      </w:tr>
      <w:tr w:rsidR="00337287" w:rsidRPr="009770C7" w14:paraId="6B6C42ED" w14:textId="77777777" w:rsidTr="0069044C">
        <w:tc>
          <w:tcPr>
            <w:tcW w:w="2905" w:type="pct"/>
            <w:shd w:val="clear" w:color="auto" w:fill="auto"/>
            <w:tcMar>
              <w:top w:w="0" w:type="dxa"/>
              <w:bottom w:w="0" w:type="dxa"/>
            </w:tcMar>
            <w:vAlign w:val="center"/>
          </w:tcPr>
          <w:p w14:paraId="14F5CB8F" w14:textId="77777777" w:rsidR="00337287" w:rsidRPr="009770C7" w:rsidRDefault="0069044C" w:rsidP="0069044C">
            <w:pPr>
              <w:numPr>
                <w:ilvl w:val="0"/>
                <w:numId w:val="6"/>
              </w:numPr>
              <w:pBdr>
                <w:top w:val="nil"/>
                <w:left w:val="nil"/>
                <w:bottom w:val="nil"/>
                <w:right w:val="nil"/>
                <w:between w:val="nil"/>
              </w:pBdr>
              <w:tabs>
                <w:tab w:val="left" w:pos="432"/>
                <w:tab w:val="left" w:pos="1017"/>
                <w:tab w:val="left" w:pos="6287"/>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Profit after tax distribution 2023: </w:t>
            </w:r>
          </w:p>
        </w:tc>
        <w:tc>
          <w:tcPr>
            <w:tcW w:w="2095" w:type="pct"/>
            <w:shd w:val="clear" w:color="auto" w:fill="auto"/>
            <w:tcMar>
              <w:top w:w="0" w:type="dxa"/>
              <w:bottom w:w="0" w:type="dxa"/>
            </w:tcMar>
            <w:vAlign w:val="center"/>
          </w:tcPr>
          <w:p w14:paraId="348EF57B"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13,651,812,984</w:t>
            </w:r>
          </w:p>
        </w:tc>
      </w:tr>
      <w:tr w:rsidR="00337287" w:rsidRPr="009770C7" w14:paraId="47F7891D" w14:textId="77777777" w:rsidTr="0069044C">
        <w:tc>
          <w:tcPr>
            <w:tcW w:w="2905" w:type="pct"/>
            <w:shd w:val="clear" w:color="auto" w:fill="auto"/>
            <w:tcMar>
              <w:top w:w="0" w:type="dxa"/>
              <w:bottom w:w="0" w:type="dxa"/>
            </w:tcMar>
            <w:vAlign w:val="center"/>
          </w:tcPr>
          <w:p w14:paraId="335076BC" w14:textId="77777777" w:rsidR="00337287" w:rsidRPr="009770C7" w:rsidRDefault="0069044C" w:rsidP="0069044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9770C7">
              <w:rPr>
                <w:rFonts w:ascii="Arial" w:hAnsi="Arial" w:cs="Arial"/>
                <w:color w:val="010000"/>
                <w:sz w:val="20"/>
              </w:rPr>
              <w:t>Dividend payment:</w:t>
            </w:r>
          </w:p>
        </w:tc>
        <w:tc>
          <w:tcPr>
            <w:tcW w:w="2095" w:type="pct"/>
            <w:shd w:val="clear" w:color="auto" w:fill="auto"/>
            <w:tcMar>
              <w:top w:w="0" w:type="dxa"/>
              <w:bottom w:w="0" w:type="dxa"/>
            </w:tcMar>
            <w:vAlign w:val="center"/>
          </w:tcPr>
          <w:p w14:paraId="30E7CEDC"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7,200,000,000</w:t>
            </w:r>
          </w:p>
        </w:tc>
      </w:tr>
      <w:tr w:rsidR="00337287" w:rsidRPr="009770C7" w14:paraId="5DE0B77A" w14:textId="77777777" w:rsidTr="0069044C">
        <w:tc>
          <w:tcPr>
            <w:tcW w:w="2905" w:type="pct"/>
            <w:shd w:val="clear" w:color="auto" w:fill="auto"/>
            <w:tcMar>
              <w:top w:w="0" w:type="dxa"/>
              <w:bottom w:w="0" w:type="dxa"/>
            </w:tcMar>
            <w:vAlign w:val="center"/>
          </w:tcPr>
          <w:p w14:paraId="7E540A67" w14:textId="77777777" w:rsidR="00337287" w:rsidRPr="009770C7" w:rsidRDefault="0069044C" w:rsidP="0069044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Appropriation for funds:</w:t>
            </w:r>
          </w:p>
        </w:tc>
        <w:tc>
          <w:tcPr>
            <w:tcW w:w="2095" w:type="pct"/>
            <w:shd w:val="clear" w:color="auto" w:fill="auto"/>
            <w:tcMar>
              <w:top w:w="0" w:type="dxa"/>
              <w:bottom w:w="0" w:type="dxa"/>
            </w:tcMar>
            <w:vAlign w:val="center"/>
          </w:tcPr>
          <w:p w14:paraId="79200EB2"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6,451,812,984</w:t>
            </w:r>
          </w:p>
        </w:tc>
      </w:tr>
    </w:tbl>
    <w:p w14:paraId="10EBA40E"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In which:</w:t>
      </w:r>
    </w:p>
    <w:tbl>
      <w:tblPr>
        <w:tblStyle w:val="a1"/>
        <w:tblW w:w="5000" w:type="pct"/>
        <w:tblLook w:val="0400" w:firstRow="0" w:lastRow="0" w:firstColumn="0" w:lastColumn="0" w:noHBand="0" w:noVBand="1"/>
      </w:tblPr>
      <w:tblGrid>
        <w:gridCol w:w="5245"/>
        <w:gridCol w:w="3782"/>
      </w:tblGrid>
      <w:tr w:rsidR="00337287" w:rsidRPr="009770C7" w14:paraId="61C7280E" w14:textId="77777777" w:rsidTr="0069044C">
        <w:tc>
          <w:tcPr>
            <w:tcW w:w="2905" w:type="pct"/>
            <w:shd w:val="clear" w:color="auto" w:fill="auto"/>
            <w:tcMar>
              <w:top w:w="0" w:type="dxa"/>
              <w:bottom w:w="0" w:type="dxa"/>
            </w:tcMar>
            <w:vAlign w:val="center"/>
          </w:tcPr>
          <w:p w14:paraId="3B0173AB" w14:textId="7C5909F7" w:rsidR="00337287" w:rsidRPr="009770C7" w:rsidRDefault="0069044C" w:rsidP="0069044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Investment and development fund</w:t>
            </w:r>
            <w:r w:rsidR="009770C7" w:rsidRPr="009770C7">
              <w:rPr>
                <w:rFonts w:ascii="Arial" w:hAnsi="Arial" w:cs="Arial"/>
                <w:color w:val="010000"/>
                <w:sz w:val="20"/>
              </w:rPr>
              <w:t>:</w:t>
            </w:r>
          </w:p>
        </w:tc>
        <w:tc>
          <w:tcPr>
            <w:tcW w:w="2095" w:type="pct"/>
            <w:shd w:val="clear" w:color="auto" w:fill="auto"/>
            <w:tcMar>
              <w:top w:w="0" w:type="dxa"/>
              <w:bottom w:w="0" w:type="dxa"/>
            </w:tcMar>
            <w:vAlign w:val="center"/>
          </w:tcPr>
          <w:p w14:paraId="41BF4502"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875,532,129</w:t>
            </w:r>
          </w:p>
        </w:tc>
      </w:tr>
    </w:tbl>
    <w:p w14:paraId="3058821F" w14:textId="77777777" w:rsidR="00337287" w:rsidRPr="009770C7" w:rsidRDefault="0069044C" w:rsidP="0069044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 xml:space="preserve">Bonus and welfare fund for employees; </w:t>
      </w:r>
      <w:r w:rsidRPr="009770C7">
        <w:rPr>
          <w:rFonts w:ascii="Arial" w:hAnsi="Arial" w:cs="Arial"/>
          <w:color w:val="010000"/>
          <w:sz w:val="20"/>
        </w:rPr>
        <w:tab/>
      </w:r>
      <w:r w:rsidRPr="009770C7">
        <w:rPr>
          <w:rFonts w:ascii="Arial" w:hAnsi="Arial" w:cs="Arial"/>
          <w:color w:val="010000"/>
          <w:sz w:val="20"/>
        </w:rPr>
        <w:tab/>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5,187,480,855</w:t>
      </w:r>
    </w:p>
    <w:tbl>
      <w:tblPr>
        <w:tblStyle w:val="a2"/>
        <w:tblW w:w="5000" w:type="pct"/>
        <w:tblLook w:val="0400" w:firstRow="0" w:lastRow="0" w:firstColumn="0" w:lastColumn="0" w:noHBand="0" w:noVBand="1"/>
      </w:tblPr>
      <w:tblGrid>
        <w:gridCol w:w="5245"/>
        <w:gridCol w:w="3782"/>
      </w:tblGrid>
      <w:tr w:rsidR="00337287" w:rsidRPr="009770C7" w14:paraId="11E5DDB3" w14:textId="77777777" w:rsidTr="0069044C">
        <w:tc>
          <w:tcPr>
            <w:tcW w:w="2905" w:type="pct"/>
            <w:shd w:val="clear" w:color="auto" w:fill="auto"/>
            <w:tcMar>
              <w:top w:w="0" w:type="dxa"/>
              <w:bottom w:w="0" w:type="dxa"/>
            </w:tcMar>
            <w:vAlign w:val="center"/>
          </w:tcPr>
          <w:p w14:paraId="4E849B5B" w14:textId="77777777" w:rsidR="00337287" w:rsidRPr="009770C7" w:rsidRDefault="0069044C" w:rsidP="0069044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Bonus fund for managers:</w:t>
            </w:r>
          </w:p>
        </w:tc>
        <w:tc>
          <w:tcPr>
            <w:tcW w:w="2095" w:type="pct"/>
            <w:shd w:val="clear" w:color="auto" w:fill="auto"/>
            <w:tcMar>
              <w:top w:w="0" w:type="dxa"/>
              <w:bottom w:w="0" w:type="dxa"/>
            </w:tcMar>
            <w:vAlign w:val="center"/>
          </w:tcPr>
          <w:p w14:paraId="5048BF75"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388,800,000</w:t>
            </w:r>
          </w:p>
        </w:tc>
      </w:tr>
      <w:tr w:rsidR="00337287" w:rsidRPr="009770C7" w14:paraId="2940A838" w14:textId="77777777" w:rsidTr="0069044C">
        <w:tc>
          <w:tcPr>
            <w:tcW w:w="2905" w:type="pct"/>
            <w:shd w:val="clear" w:color="auto" w:fill="auto"/>
            <w:tcMar>
              <w:top w:w="0" w:type="dxa"/>
              <w:bottom w:w="0" w:type="dxa"/>
            </w:tcMar>
            <w:vAlign w:val="center"/>
          </w:tcPr>
          <w:p w14:paraId="3A76C89C"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D. Undistributed profit:</w:t>
            </w:r>
          </w:p>
        </w:tc>
        <w:tc>
          <w:tcPr>
            <w:tcW w:w="2095" w:type="pct"/>
            <w:shd w:val="clear" w:color="auto" w:fill="auto"/>
            <w:tcMar>
              <w:top w:w="0" w:type="dxa"/>
              <w:bottom w:w="0" w:type="dxa"/>
            </w:tcMar>
            <w:vAlign w:val="center"/>
          </w:tcPr>
          <w:p w14:paraId="79FAE56E" w14:textId="7EE040E9"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0</w:t>
            </w:r>
          </w:p>
        </w:tc>
      </w:tr>
    </w:tbl>
    <w:p w14:paraId="30823E8B"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3. Approve the Production and Business Plan for 2024 and financial plan for 2023 with following main targets:</w:t>
      </w:r>
    </w:p>
    <w:tbl>
      <w:tblPr>
        <w:tblStyle w:val="a3"/>
        <w:tblW w:w="5000" w:type="pct"/>
        <w:tblLook w:val="0400" w:firstRow="0" w:lastRow="0" w:firstColumn="0" w:lastColumn="0" w:noHBand="0" w:noVBand="1"/>
      </w:tblPr>
      <w:tblGrid>
        <w:gridCol w:w="5245"/>
        <w:gridCol w:w="3782"/>
      </w:tblGrid>
      <w:tr w:rsidR="00337287" w:rsidRPr="009770C7" w14:paraId="4BE25DD6" w14:textId="77777777" w:rsidTr="0069044C">
        <w:tc>
          <w:tcPr>
            <w:tcW w:w="2905" w:type="pct"/>
            <w:shd w:val="clear" w:color="auto" w:fill="auto"/>
            <w:tcMar>
              <w:top w:w="0" w:type="dxa"/>
              <w:bottom w:w="0" w:type="dxa"/>
            </w:tcMar>
            <w:vAlign w:val="center"/>
          </w:tcPr>
          <w:p w14:paraId="0FA617F1" w14:textId="77777777" w:rsidR="00337287" w:rsidRPr="009770C7" w:rsidRDefault="0069044C" w:rsidP="0069044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Consumption water</w:t>
            </w:r>
          </w:p>
        </w:tc>
        <w:tc>
          <w:tcPr>
            <w:tcW w:w="2095" w:type="pct"/>
            <w:shd w:val="clear" w:color="auto" w:fill="auto"/>
            <w:tcMar>
              <w:top w:w="0" w:type="dxa"/>
              <w:bottom w:w="0" w:type="dxa"/>
            </w:tcMar>
            <w:vAlign w:val="center"/>
          </w:tcPr>
          <w:p w14:paraId="71F129ED"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33,000,000 </w:t>
            </w:r>
            <w:proofErr w:type="spellStart"/>
            <w:r w:rsidRPr="009770C7">
              <w:rPr>
                <w:rFonts w:ascii="Arial" w:hAnsi="Arial" w:cs="Arial"/>
                <w:color w:val="010000"/>
                <w:sz w:val="20"/>
              </w:rPr>
              <w:t>m3</w:t>
            </w:r>
            <w:proofErr w:type="spellEnd"/>
          </w:p>
        </w:tc>
      </w:tr>
      <w:tr w:rsidR="00337287" w:rsidRPr="009770C7" w14:paraId="7E4556DC" w14:textId="77777777" w:rsidTr="0069044C">
        <w:tc>
          <w:tcPr>
            <w:tcW w:w="2905" w:type="pct"/>
            <w:shd w:val="clear" w:color="auto" w:fill="auto"/>
            <w:tcMar>
              <w:top w:w="0" w:type="dxa"/>
              <w:bottom w:w="0" w:type="dxa"/>
            </w:tcMar>
            <w:vAlign w:val="center"/>
          </w:tcPr>
          <w:p w14:paraId="4636B495" w14:textId="77777777" w:rsidR="00337287" w:rsidRPr="009770C7" w:rsidRDefault="0069044C" w:rsidP="0069044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Total revenue:</w:t>
            </w:r>
          </w:p>
        </w:tc>
        <w:tc>
          <w:tcPr>
            <w:tcW w:w="2095" w:type="pct"/>
            <w:shd w:val="clear" w:color="auto" w:fill="auto"/>
            <w:tcMar>
              <w:top w:w="0" w:type="dxa"/>
              <w:bottom w:w="0" w:type="dxa"/>
            </w:tcMar>
            <w:vAlign w:val="center"/>
          </w:tcPr>
          <w:p w14:paraId="3BBA89CD"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414,200 million;</w:t>
            </w:r>
          </w:p>
        </w:tc>
      </w:tr>
      <w:tr w:rsidR="00337287" w:rsidRPr="009770C7" w14:paraId="1CE48EF3" w14:textId="77777777" w:rsidTr="0069044C">
        <w:tc>
          <w:tcPr>
            <w:tcW w:w="2905" w:type="pct"/>
            <w:shd w:val="clear" w:color="auto" w:fill="auto"/>
            <w:tcMar>
              <w:top w:w="0" w:type="dxa"/>
              <w:bottom w:w="0" w:type="dxa"/>
            </w:tcMar>
            <w:vAlign w:val="center"/>
          </w:tcPr>
          <w:p w14:paraId="45222A83" w14:textId="77777777" w:rsidR="00337287" w:rsidRPr="009770C7" w:rsidRDefault="0069044C" w:rsidP="0069044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Total profit after tax:</w:t>
            </w:r>
          </w:p>
        </w:tc>
        <w:tc>
          <w:tcPr>
            <w:tcW w:w="2095" w:type="pct"/>
            <w:shd w:val="clear" w:color="auto" w:fill="auto"/>
            <w:tcMar>
              <w:top w:w="0" w:type="dxa"/>
              <w:bottom w:w="0" w:type="dxa"/>
            </w:tcMar>
            <w:vAlign w:val="center"/>
          </w:tcPr>
          <w:p w14:paraId="4AC5AF58" w14:textId="77777777" w:rsidR="00337287" w:rsidRPr="009770C7" w:rsidRDefault="0069044C" w:rsidP="006904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19,777 million;</w:t>
            </w:r>
          </w:p>
        </w:tc>
      </w:tr>
      <w:tr w:rsidR="00337287" w:rsidRPr="009770C7" w14:paraId="51F4CAF3" w14:textId="77777777" w:rsidTr="0069044C">
        <w:tc>
          <w:tcPr>
            <w:tcW w:w="2905" w:type="pct"/>
            <w:shd w:val="clear" w:color="auto" w:fill="auto"/>
            <w:tcMar>
              <w:top w:w="0" w:type="dxa"/>
              <w:bottom w:w="0" w:type="dxa"/>
            </w:tcMar>
            <w:vAlign w:val="center"/>
          </w:tcPr>
          <w:p w14:paraId="074CBACD" w14:textId="77777777" w:rsidR="00337287" w:rsidRPr="009770C7" w:rsidRDefault="0069044C" w:rsidP="0069044C">
            <w:pPr>
              <w:numPr>
                <w:ilvl w:val="0"/>
                <w:numId w:val="2"/>
              </w:numPr>
              <w:pBdr>
                <w:top w:val="nil"/>
                <w:left w:val="nil"/>
                <w:bottom w:val="nil"/>
                <w:right w:val="nil"/>
                <w:between w:val="nil"/>
              </w:pBdr>
              <w:tabs>
                <w:tab w:val="left" w:pos="432"/>
                <w:tab w:val="left" w:pos="1239"/>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Profit after tax/Charter capital:</w:t>
            </w:r>
          </w:p>
          <w:p w14:paraId="25A6F8A1" w14:textId="77777777" w:rsidR="00337287" w:rsidRPr="009770C7" w:rsidRDefault="0069044C" w:rsidP="0069044C">
            <w:pPr>
              <w:numPr>
                <w:ilvl w:val="0"/>
                <w:numId w:val="2"/>
              </w:numPr>
              <w:pBdr>
                <w:top w:val="nil"/>
                <w:left w:val="nil"/>
                <w:bottom w:val="nil"/>
                <w:right w:val="nil"/>
                <w:between w:val="nil"/>
              </w:pBdr>
              <w:tabs>
                <w:tab w:val="left" w:pos="432"/>
                <w:tab w:val="left" w:pos="1230"/>
              </w:tabs>
              <w:spacing w:after="120" w:line="360" w:lineRule="auto"/>
              <w:ind w:left="0" w:firstLine="0"/>
              <w:rPr>
                <w:rFonts w:ascii="Arial" w:eastAsia="Arial" w:hAnsi="Arial" w:cs="Arial"/>
                <w:color w:val="010000"/>
                <w:sz w:val="20"/>
                <w:szCs w:val="20"/>
              </w:rPr>
            </w:pPr>
            <w:r w:rsidRPr="009770C7">
              <w:rPr>
                <w:rFonts w:ascii="Arial" w:hAnsi="Arial" w:cs="Arial"/>
                <w:color w:val="010000"/>
                <w:sz w:val="20"/>
              </w:rPr>
              <w:t>Dividend payment rate:</w:t>
            </w:r>
          </w:p>
        </w:tc>
        <w:tc>
          <w:tcPr>
            <w:tcW w:w="2095" w:type="pct"/>
            <w:shd w:val="clear" w:color="auto" w:fill="auto"/>
            <w:tcMar>
              <w:top w:w="0" w:type="dxa"/>
              <w:bottom w:w="0" w:type="dxa"/>
            </w:tcMar>
            <w:vAlign w:val="center"/>
          </w:tcPr>
          <w:p w14:paraId="119D0E22"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16.43%</w:t>
            </w:r>
          </w:p>
          <w:p w14:paraId="5133F96E"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 xml:space="preserve">8.0% = </w:t>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800/share</w:t>
            </w:r>
          </w:p>
        </w:tc>
      </w:tr>
    </w:tbl>
    <w:p w14:paraId="371AABE3"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4. Approve the Report No. 088/BC-</w:t>
      </w:r>
      <w:proofErr w:type="spellStart"/>
      <w:r w:rsidRPr="009770C7">
        <w:rPr>
          <w:rFonts w:ascii="Arial" w:hAnsi="Arial" w:cs="Arial"/>
          <w:color w:val="010000"/>
          <w:sz w:val="20"/>
        </w:rPr>
        <w:t>PHT</w:t>
      </w:r>
      <w:proofErr w:type="spellEnd"/>
      <w:r w:rsidRPr="009770C7">
        <w:rPr>
          <w:rFonts w:ascii="Arial" w:hAnsi="Arial" w:cs="Arial"/>
          <w:color w:val="010000"/>
          <w:sz w:val="20"/>
        </w:rPr>
        <w:t>-</w:t>
      </w:r>
      <w:proofErr w:type="spellStart"/>
      <w:r w:rsidRPr="009770C7">
        <w:rPr>
          <w:rFonts w:ascii="Arial" w:hAnsi="Arial" w:cs="Arial"/>
          <w:color w:val="010000"/>
          <w:sz w:val="20"/>
        </w:rPr>
        <w:t>HDQT</w:t>
      </w:r>
      <w:proofErr w:type="spellEnd"/>
      <w:r w:rsidRPr="009770C7">
        <w:rPr>
          <w:rFonts w:ascii="Arial" w:hAnsi="Arial" w:cs="Arial"/>
          <w:color w:val="010000"/>
          <w:sz w:val="20"/>
        </w:rPr>
        <w:t xml:space="preserve"> dated March 18, 2024 on the activities of the Board of Directors in 2023</w:t>
      </w:r>
    </w:p>
    <w:p w14:paraId="1540F49D"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lastRenderedPageBreak/>
        <w:t>‎‎Article 5. Approve the Report No. 22/BC/</w:t>
      </w:r>
      <w:proofErr w:type="spellStart"/>
      <w:r w:rsidRPr="009770C7">
        <w:rPr>
          <w:rFonts w:ascii="Arial" w:hAnsi="Arial" w:cs="Arial"/>
          <w:color w:val="010000"/>
          <w:sz w:val="20"/>
        </w:rPr>
        <w:t>PHT-BKS</w:t>
      </w:r>
      <w:proofErr w:type="spellEnd"/>
      <w:r w:rsidRPr="009770C7">
        <w:rPr>
          <w:rFonts w:ascii="Arial" w:hAnsi="Arial" w:cs="Arial"/>
          <w:color w:val="010000"/>
          <w:sz w:val="20"/>
        </w:rPr>
        <w:t xml:space="preserve"> dated March 27, 2024 in the activities of the Supervisory Board and the supervision results of the production and business in 2023 of the Company</w:t>
      </w:r>
    </w:p>
    <w:p w14:paraId="77F4FA02"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6.</w:t>
      </w:r>
    </w:p>
    <w:p w14:paraId="0C2809CD" w14:textId="77777777" w:rsidR="00337287" w:rsidRPr="009770C7" w:rsidRDefault="0069044C" w:rsidP="0069044C">
      <w:pPr>
        <w:numPr>
          <w:ilvl w:val="0"/>
          <w:numId w:val="7"/>
        </w:numPr>
        <w:pBdr>
          <w:top w:val="nil"/>
          <w:left w:val="nil"/>
          <w:bottom w:val="nil"/>
          <w:right w:val="nil"/>
          <w:between w:val="nil"/>
        </w:pBdr>
        <w:tabs>
          <w:tab w:val="left" w:pos="432"/>
          <w:tab w:val="left" w:pos="1931"/>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Approve the list of 03 independent audit companies, including: (1) </w:t>
      </w:r>
      <w:proofErr w:type="spellStart"/>
      <w:r w:rsidRPr="009770C7">
        <w:rPr>
          <w:rFonts w:ascii="Arial" w:hAnsi="Arial" w:cs="Arial"/>
          <w:color w:val="010000"/>
          <w:sz w:val="20"/>
        </w:rPr>
        <w:t>Vietvalues</w:t>
      </w:r>
      <w:proofErr w:type="spellEnd"/>
      <w:r w:rsidRPr="009770C7">
        <w:rPr>
          <w:rFonts w:ascii="Arial" w:hAnsi="Arial" w:cs="Arial"/>
          <w:color w:val="010000"/>
          <w:sz w:val="20"/>
        </w:rPr>
        <w:t xml:space="preserve"> Audit and Consulting Company; (2) </w:t>
      </w:r>
      <w:proofErr w:type="spellStart"/>
      <w:r w:rsidRPr="009770C7">
        <w:rPr>
          <w:rFonts w:ascii="Arial" w:hAnsi="Arial" w:cs="Arial"/>
          <w:color w:val="010000"/>
          <w:sz w:val="20"/>
        </w:rPr>
        <w:t>AASC</w:t>
      </w:r>
      <w:proofErr w:type="spellEnd"/>
      <w:r w:rsidRPr="009770C7">
        <w:rPr>
          <w:rFonts w:ascii="Arial" w:hAnsi="Arial" w:cs="Arial"/>
          <w:color w:val="010000"/>
          <w:sz w:val="20"/>
        </w:rPr>
        <w:t xml:space="preserve"> Auditing Firm Company Limited; (3); AFC Vietnam Auditing Company Limited.</w:t>
      </w:r>
    </w:p>
    <w:p w14:paraId="770CC6AD" w14:textId="77777777" w:rsidR="00337287" w:rsidRPr="009770C7" w:rsidRDefault="0069044C" w:rsidP="0069044C">
      <w:pPr>
        <w:numPr>
          <w:ilvl w:val="0"/>
          <w:numId w:val="7"/>
        </w:numPr>
        <w:pBdr>
          <w:top w:val="nil"/>
          <w:left w:val="nil"/>
          <w:bottom w:val="nil"/>
          <w:right w:val="nil"/>
          <w:between w:val="nil"/>
        </w:pBdr>
        <w:tabs>
          <w:tab w:val="left" w:pos="432"/>
          <w:tab w:val="left" w:pos="1931"/>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Approve the selection of </w:t>
      </w:r>
      <w:proofErr w:type="spellStart"/>
      <w:r w:rsidRPr="009770C7">
        <w:rPr>
          <w:rFonts w:ascii="Arial" w:hAnsi="Arial" w:cs="Arial"/>
          <w:color w:val="010000"/>
          <w:sz w:val="20"/>
        </w:rPr>
        <w:t>Vietvalues</w:t>
      </w:r>
      <w:proofErr w:type="spellEnd"/>
      <w:r w:rsidRPr="009770C7">
        <w:rPr>
          <w:rFonts w:ascii="Arial" w:hAnsi="Arial" w:cs="Arial"/>
          <w:color w:val="010000"/>
          <w:sz w:val="20"/>
        </w:rPr>
        <w:t xml:space="preserve"> Audit and Consulting Company to be the official audit company for the Financial Statements 2024 of </w:t>
      </w:r>
      <w:proofErr w:type="spellStart"/>
      <w:r w:rsidRPr="009770C7">
        <w:rPr>
          <w:rFonts w:ascii="Arial" w:hAnsi="Arial" w:cs="Arial"/>
          <w:color w:val="010000"/>
          <w:sz w:val="20"/>
        </w:rPr>
        <w:t>Phu</w:t>
      </w:r>
      <w:proofErr w:type="spellEnd"/>
      <w:r w:rsidRPr="009770C7">
        <w:rPr>
          <w:rFonts w:ascii="Arial" w:hAnsi="Arial" w:cs="Arial"/>
          <w:color w:val="010000"/>
          <w:sz w:val="20"/>
        </w:rPr>
        <w:t xml:space="preserve"> </w:t>
      </w:r>
      <w:proofErr w:type="spellStart"/>
      <w:r w:rsidRPr="009770C7">
        <w:rPr>
          <w:rFonts w:ascii="Arial" w:hAnsi="Arial" w:cs="Arial"/>
          <w:color w:val="010000"/>
          <w:sz w:val="20"/>
        </w:rPr>
        <w:t>Hoa</w:t>
      </w:r>
      <w:proofErr w:type="spellEnd"/>
      <w:r w:rsidRPr="009770C7">
        <w:rPr>
          <w:rFonts w:ascii="Arial" w:hAnsi="Arial" w:cs="Arial"/>
          <w:color w:val="010000"/>
          <w:sz w:val="20"/>
        </w:rPr>
        <w:t xml:space="preserve"> Tan Water Supply Joint Stock Company (draft Contract attached) </w:t>
      </w:r>
    </w:p>
    <w:p w14:paraId="402EC672" w14:textId="77777777" w:rsidR="00337287" w:rsidRPr="009770C7" w:rsidRDefault="0069044C" w:rsidP="0069044C">
      <w:pPr>
        <w:numPr>
          <w:ilvl w:val="0"/>
          <w:numId w:val="7"/>
        </w:numPr>
        <w:pBdr>
          <w:top w:val="nil"/>
          <w:left w:val="nil"/>
          <w:bottom w:val="nil"/>
          <w:right w:val="nil"/>
          <w:between w:val="nil"/>
        </w:pBdr>
        <w:tabs>
          <w:tab w:val="left" w:pos="432"/>
          <w:tab w:val="left" w:pos="1931"/>
        </w:tabs>
        <w:spacing w:after="120" w:line="360" w:lineRule="auto"/>
        <w:rPr>
          <w:rFonts w:ascii="Arial" w:eastAsia="Arial" w:hAnsi="Arial" w:cs="Arial"/>
          <w:color w:val="010000"/>
          <w:sz w:val="20"/>
          <w:szCs w:val="20"/>
        </w:rPr>
      </w:pPr>
      <w:r w:rsidRPr="009770C7">
        <w:rPr>
          <w:rFonts w:ascii="Arial" w:hAnsi="Arial" w:cs="Arial"/>
          <w:color w:val="010000"/>
          <w:sz w:val="20"/>
        </w:rPr>
        <w:t xml:space="preserve">Authorize the Board of Directors to select 01 out of 02 remaining independent audit companies in case due to objective reasons or conditions the Company cannot sign an audit contract for the 2024 Financial Statements with the independent audit company selected in section (2) </w:t>
      </w:r>
      <w:proofErr w:type="spellStart"/>
      <w:r w:rsidRPr="009770C7">
        <w:rPr>
          <w:rFonts w:ascii="Arial" w:hAnsi="Arial" w:cs="Arial"/>
          <w:color w:val="010000"/>
          <w:sz w:val="20"/>
        </w:rPr>
        <w:t>Vietvalues</w:t>
      </w:r>
      <w:proofErr w:type="spellEnd"/>
      <w:r w:rsidRPr="009770C7">
        <w:rPr>
          <w:rFonts w:ascii="Arial" w:hAnsi="Arial" w:cs="Arial"/>
          <w:color w:val="010000"/>
          <w:sz w:val="20"/>
        </w:rPr>
        <w:t>.</w:t>
      </w:r>
    </w:p>
    <w:p w14:paraId="5D7FD6F5" w14:textId="7653D874"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7. Agree on Proposal No. 089/</w:t>
      </w:r>
      <w:proofErr w:type="spellStart"/>
      <w:r w:rsidRPr="009770C7">
        <w:rPr>
          <w:rFonts w:ascii="Arial" w:hAnsi="Arial" w:cs="Arial"/>
          <w:color w:val="010000"/>
          <w:sz w:val="20"/>
        </w:rPr>
        <w:t>TTr-PHT-HDQT</w:t>
      </w:r>
      <w:proofErr w:type="spellEnd"/>
      <w:r w:rsidRPr="009770C7">
        <w:rPr>
          <w:rFonts w:ascii="Arial" w:hAnsi="Arial" w:cs="Arial"/>
          <w:color w:val="010000"/>
          <w:sz w:val="20"/>
        </w:rPr>
        <w:t xml:space="preserve"> dated March 21, 2024 on the total planned salary in 2024 of the executive managers to be </w:t>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2,592 million and the total remuneration for non-executive managers to be </w:t>
      </w:r>
      <w:proofErr w:type="spellStart"/>
      <w:r w:rsidRPr="009770C7">
        <w:rPr>
          <w:rFonts w:ascii="Arial" w:hAnsi="Arial" w:cs="Arial"/>
          <w:color w:val="010000"/>
          <w:sz w:val="20"/>
        </w:rPr>
        <w:t>VND</w:t>
      </w:r>
      <w:proofErr w:type="spellEnd"/>
      <w:r w:rsidRPr="009770C7">
        <w:rPr>
          <w:rFonts w:ascii="Arial" w:hAnsi="Arial" w:cs="Arial"/>
          <w:color w:val="010000"/>
          <w:sz w:val="20"/>
        </w:rPr>
        <w:t xml:space="preserve"> 420 million. Other expenses for the Board of Directors and the Supervisory Board are accounted for according to reality. At the end of the year, based on the production and business results and the actual financial situation, the company will settle the remuneration and salary fund as per regulation. </w:t>
      </w:r>
    </w:p>
    <w:p w14:paraId="0C666327"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8.</w:t>
      </w:r>
    </w:p>
    <w:p w14:paraId="4EF68318" w14:textId="77777777" w:rsidR="00337287" w:rsidRPr="009770C7" w:rsidRDefault="0069044C" w:rsidP="0069044C">
      <w:pPr>
        <w:numPr>
          <w:ilvl w:val="0"/>
          <w:numId w:val="1"/>
        </w:numPr>
        <w:pBdr>
          <w:top w:val="nil"/>
          <w:left w:val="nil"/>
          <w:bottom w:val="nil"/>
          <w:right w:val="nil"/>
          <w:between w:val="nil"/>
        </w:pBdr>
        <w:tabs>
          <w:tab w:val="left" w:pos="432"/>
          <w:tab w:val="left" w:pos="1931"/>
        </w:tabs>
        <w:spacing w:after="120" w:line="360" w:lineRule="auto"/>
        <w:rPr>
          <w:rFonts w:ascii="Arial" w:eastAsia="Arial" w:hAnsi="Arial" w:cs="Arial"/>
          <w:color w:val="010000"/>
          <w:sz w:val="20"/>
          <w:szCs w:val="20"/>
        </w:rPr>
      </w:pPr>
      <w:r w:rsidRPr="009770C7">
        <w:rPr>
          <w:rFonts w:ascii="Arial" w:hAnsi="Arial" w:cs="Arial"/>
          <w:color w:val="010000"/>
          <w:sz w:val="20"/>
        </w:rPr>
        <w:t>Approve the Clean Water Wholesale Purchase Contract and the Agreement 2024 with Saigon Water Corporation (Holding Company) valued at 35% or more of the total value of the Company's assets recorded in the nearest Financial Statements</w:t>
      </w:r>
    </w:p>
    <w:p w14:paraId="621004D6" w14:textId="77777777" w:rsidR="00337287" w:rsidRPr="009770C7" w:rsidRDefault="0069044C" w:rsidP="0069044C">
      <w:pPr>
        <w:numPr>
          <w:ilvl w:val="0"/>
          <w:numId w:val="1"/>
        </w:numPr>
        <w:pBdr>
          <w:top w:val="nil"/>
          <w:left w:val="nil"/>
          <w:bottom w:val="nil"/>
          <w:right w:val="nil"/>
          <w:between w:val="nil"/>
        </w:pBdr>
        <w:tabs>
          <w:tab w:val="left" w:pos="432"/>
          <w:tab w:val="left" w:pos="1931"/>
        </w:tabs>
        <w:spacing w:after="120" w:line="360" w:lineRule="auto"/>
        <w:rPr>
          <w:rFonts w:ascii="Arial" w:eastAsia="Arial" w:hAnsi="Arial" w:cs="Arial"/>
          <w:color w:val="010000"/>
          <w:sz w:val="20"/>
          <w:szCs w:val="20"/>
        </w:rPr>
      </w:pPr>
      <w:r w:rsidRPr="009770C7">
        <w:rPr>
          <w:rFonts w:ascii="Arial" w:hAnsi="Arial" w:cs="Arial"/>
          <w:color w:val="010000"/>
          <w:sz w:val="20"/>
        </w:rPr>
        <w:t>Authorize the Board of Directors to approve the Clean Water Wholesale Purchase Contract and the Agreement with Saigon Water Corporation, when the terms of the Contract are adjusted and assign the Manager to sign the Contracts, Agreements, and Appendixes to adjust the Clean Water Wholesale Purchase Contract with Saigon Water Corporation</w:t>
      </w:r>
    </w:p>
    <w:p w14:paraId="1B966CC5"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 xml:space="preserve">‎‎Article 9. The Board of Directors, the Supervisory Board, and the Board of Managers of </w:t>
      </w:r>
      <w:proofErr w:type="spellStart"/>
      <w:r w:rsidRPr="009770C7">
        <w:rPr>
          <w:rFonts w:ascii="Arial" w:hAnsi="Arial" w:cs="Arial"/>
          <w:color w:val="010000"/>
          <w:sz w:val="20"/>
        </w:rPr>
        <w:t>Phu</w:t>
      </w:r>
      <w:proofErr w:type="spellEnd"/>
      <w:r w:rsidRPr="009770C7">
        <w:rPr>
          <w:rFonts w:ascii="Arial" w:hAnsi="Arial" w:cs="Arial"/>
          <w:color w:val="010000"/>
          <w:sz w:val="20"/>
        </w:rPr>
        <w:t xml:space="preserve"> </w:t>
      </w:r>
      <w:proofErr w:type="spellStart"/>
      <w:r w:rsidRPr="009770C7">
        <w:rPr>
          <w:rFonts w:ascii="Arial" w:hAnsi="Arial" w:cs="Arial"/>
          <w:color w:val="010000"/>
          <w:sz w:val="20"/>
        </w:rPr>
        <w:t>Hoa</w:t>
      </w:r>
      <w:proofErr w:type="spellEnd"/>
      <w:r w:rsidRPr="009770C7">
        <w:rPr>
          <w:rFonts w:ascii="Arial" w:hAnsi="Arial" w:cs="Arial"/>
          <w:color w:val="010000"/>
          <w:sz w:val="20"/>
        </w:rPr>
        <w:t xml:space="preserve"> Tan Water Supply Joint Stock Company are responsible for directing and organizing the implementation of this General Mandate in accordance with the current provisions of law and the Company’s Charter.</w:t>
      </w:r>
    </w:p>
    <w:p w14:paraId="74D79209" w14:textId="77777777" w:rsidR="00337287" w:rsidRPr="009770C7" w:rsidRDefault="0069044C" w:rsidP="0069044C">
      <w:pPr>
        <w:pBdr>
          <w:top w:val="nil"/>
          <w:left w:val="nil"/>
          <w:bottom w:val="nil"/>
          <w:right w:val="nil"/>
          <w:between w:val="nil"/>
        </w:pBdr>
        <w:spacing w:after="120" w:line="360" w:lineRule="auto"/>
        <w:rPr>
          <w:rFonts w:ascii="Arial" w:eastAsia="Arial" w:hAnsi="Arial" w:cs="Arial"/>
          <w:color w:val="010000"/>
          <w:sz w:val="20"/>
          <w:szCs w:val="20"/>
        </w:rPr>
      </w:pPr>
      <w:r w:rsidRPr="009770C7">
        <w:rPr>
          <w:rFonts w:ascii="Arial" w:hAnsi="Arial" w:cs="Arial"/>
          <w:color w:val="010000"/>
          <w:sz w:val="20"/>
        </w:rPr>
        <w:t>‎‎Article 10. This Annual General Mandate takes effect on the date of approval by the General Meeting of Shareholders (April 22, 2024).</w:t>
      </w:r>
    </w:p>
    <w:sectPr w:rsidR="00337287" w:rsidRPr="009770C7" w:rsidSect="0067008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397"/>
    <w:multiLevelType w:val="multilevel"/>
    <w:tmpl w:val="896A0E7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9A3D27"/>
    <w:multiLevelType w:val="multilevel"/>
    <w:tmpl w:val="F2F428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7B1C82"/>
    <w:multiLevelType w:val="multilevel"/>
    <w:tmpl w:val="9858D84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F50815"/>
    <w:multiLevelType w:val="multilevel"/>
    <w:tmpl w:val="8B7CB5BC"/>
    <w:lvl w:ilvl="0">
      <w:start w:val="1"/>
      <w:numFmt w:val="upperLetter"/>
      <w:lvlText w:val="%1."/>
      <w:lvlJc w:val="left"/>
      <w:pPr>
        <w:ind w:left="0" w:firstLine="0"/>
      </w:pPr>
      <w:rPr>
        <w:rFonts w:ascii="Arial" w:eastAsia="Arial" w:hAnsi="Arial" w:cs="Arial"/>
        <w:b w:val="0"/>
        <w:i w:val="0"/>
        <w:smallCaps w:val="0"/>
        <w:strike w:val="0"/>
        <w:color w:val="2423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B36958"/>
    <w:multiLevelType w:val="multilevel"/>
    <w:tmpl w:val="54E094D8"/>
    <w:lvl w:ilvl="0">
      <w:start w:val="1"/>
      <w:numFmt w:val="decimal"/>
      <w:lvlText w:val="%1."/>
      <w:lvlJc w:val="left"/>
      <w:pPr>
        <w:ind w:left="0" w:firstLine="0"/>
      </w:pPr>
      <w:rPr>
        <w:rFonts w:ascii="Arial" w:eastAsia="Arial" w:hAnsi="Arial" w:cs="Arial"/>
        <w:b w:val="0"/>
        <w:i w:val="0"/>
        <w:smallCaps w:val="0"/>
        <w:strike w:val="0"/>
        <w:color w:val="2423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8C6D94"/>
    <w:multiLevelType w:val="multilevel"/>
    <w:tmpl w:val="623877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EF0D62"/>
    <w:multiLevelType w:val="multilevel"/>
    <w:tmpl w:val="109E0286"/>
    <w:lvl w:ilvl="0">
      <w:start w:val="1"/>
      <w:numFmt w:val="decimal"/>
      <w:lvlText w:val="%1."/>
      <w:lvlJc w:val="left"/>
      <w:pPr>
        <w:ind w:left="0" w:firstLine="0"/>
      </w:pPr>
      <w:rPr>
        <w:rFonts w:ascii="Arial" w:eastAsia="Arial" w:hAnsi="Arial" w:cs="Arial"/>
        <w:b w:val="0"/>
        <w:i w:val="0"/>
        <w:smallCaps w:val="0"/>
        <w:strike w:val="0"/>
        <w:color w:val="2423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87"/>
    <w:rsid w:val="00337287"/>
    <w:rsid w:val="0067008F"/>
    <w:rsid w:val="0069044C"/>
    <w:rsid w:val="00936A01"/>
    <w:rsid w:val="009770C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43B27"/>
  <w15:docId w15:val="{C74EBAC5-D67B-43E3-971F-225F32D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3E3E40"/>
      <w:sz w:val="68"/>
      <w:szCs w:val="6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42329"/>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242329"/>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8A8A8E"/>
      <w:sz w:val="13"/>
      <w:szCs w:val="13"/>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42329"/>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242329"/>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42329"/>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42329"/>
      <w:sz w:val="22"/>
      <w:szCs w:val="22"/>
      <w:u w:val="none"/>
      <w:shd w:val="clear" w:color="auto" w:fill="auto"/>
    </w:rPr>
  </w:style>
  <w:style w:type="paragraph" w:customStyle="1" w:styleId="Tiu10">
    <w:name w:val="Tiêu đề #1"/>
    <w:basedOn w:val="Normal"/>
    <w:link w:val="Tiu1"/>
    <w:pPr>
      <w:outlineLvl w:val="0"/>
    </w:pPr>
    <w:rPr>
      <w:rFonts w:ascii="Arial" w:eastAsia="Arial" w:hAnsi="Arial" w:cs="Arial"/>
      <w:color w:val="3E3E40"/>
      <w:sz w:val="68"/>
      <w:szCs w:val="68"/>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color w:val="242329"/>
      <w:sz w:val="22"/>
      <w:szCs w:val="22"/>
    </w:rPr>
  </w:style>
  <w:style w:type="paragraph" w:customStyle="1" w:styleId="Vnbnnidung30">
    <w:name w:val="Văn bản nội dung (3)"/>
    <w:basedOn w:val="Normal"/>
    <w:link w:val="Vnbnnidung3"/>
    <w:pPr>
      <w:ind w:left="540" w:firstLine="110"/>
    </w:pPr>
    <w:rPr>
      <w:rFonts w:ascii="Times New Roman" w:eastAsia="Times New Roman" w:hAnsi="Times New Roman" w:cs="Times New Roman"/>
      <w:i/>
      <w:iCs/>
      <w:color w:val="242329"/>
      <w:sz w:val="26"/>
      <w:szCs w:val="26"/>
    </w:rPr>
  </w:style>
  <w:style w:type="paragraph" w:customStyle="1" w:styleId="Vnbnnidung20">
    <w:name w:val="Văn bản nội dung (2)"/>
    <w:basedOn w:val="Normal"/>
    <w:link w:val="Vnbnnidung2"/>
    <w:pPr>
      <w:spacing w:line="218" w:lineRule="auto"/>
    </w:pPr>
    <w:rPr>
      <w:rFonts w:ascii="Arial" w:eastAsia="Arial" w:hAnsi="Arial" w:cs="Arial"/>
      <w:color w:val="8A8A8E"/>
      <w:sz w:val="13"/>
      <w:szCs w:val="13"/>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242329"/>
      <w:sz w:val="28"/>
      <w:szCs w:val="28"/>
    </w:rPr>
  </w:style>
  <w:style w:type="paragraph" w:customStyle="1" w:styleId="Tiu30">
    <w:name w:val="Tiêu đề #3"/>
    <w:basedOn w:val="Normal"/>
    <w:link w:val="Tiu3"/>
    <w:pPr>
      <w:spacing w:line="252" w:lineRule="auto"/>
      <w:jc w:val="center"/>
      <w:outlineLvl w:val="2"/>
    </w:pPr>
    <w:rPr>
      <w:rFonts w:ascii="Times New Roman" w:eastAsia="Times New Roman" w:hAnsi="Times New Roman" w:cs="Times New Roman"/>
      <w:b/>
      <w:bCs/>
      <w:color w:val="242329"/>
      <w:sz w:val="22"/>
      <w:szCs w:val="22"/>
    </w:rPr>
  </w:style>
  <w:style w:type="paragraph" w:customStyle="1" w:styleId="Chthchbng0">
    <w:name w:val="Chú thích bảng"/>
    <w:basedOn w:val="Normal"/>
    <w:link w:val="Chthchbng"/>
    <w:rPr>
      <w:rFonts w:ascii="Times New Roman" w:eastAsia="Times New Roman" w:hAnsi="Times New Roman" w:cs="Times New Roman"/>
      <w:color w:val="242329"/>
      <w:sz w:val="22"/>
      <w:szCs w:val="22"/>
    </w:rPr>
  </w:style>
  <w:style w:type="paragraph" w:customStyle="1" w:styleId="Khc0">
    <w:name w:val="Khác"/>
    <w:basedOn w:val="Normal"/>
    <w:link w:val="Khc"/>
    <w:pPr>
      <w:spacing w:line="264" w:lineRule="auto"/>
    </w:pPr>
    <w:rPr>
      <w:rFonts w:ascii="Times New Roman" w:eastAsia="Times New Roman" w:hAnsi="Times New Roman" w:cs="Times New Roman"/>
      <w:color w:val="242329"/>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2edgjqp3O+LlJDz3XqATUVxNnA==">CgMxLjAyCGguZ2pkZ3hzOAByITFqUENKdW1adS00SlNrLVlvcnpLU1JkSVFzTVNGTjdPag==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2024-04-26T04:06:00Z</dcterms:created>
  <dcterms:modified xsi:type="dcterms:W3CDTF">2024-04-26T04:06:00Z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0ea8ac94975ca60f6747c39567fcb8713ece9a4051e457ec2967e41dc0dd42ac</vt:lpwstr>
  </property>
</Properties>
</file>