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D6B77" w14:textId="77777777" w:rsidR="00D358F8" w:rsidRPr="008F7EED" w:rsidRDefault="00602BA0" w:rsidP="00995F67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F7EED">
        <w:rPr>
          <w:rFonts w:ascii="Arial" w:hAnsi="Arial" w:cs="Arial"/>
          <w:b/>
          <w:color w:val="010000"/>
          <w:sz w:val="20"/>
        </w:rPr>
        <w:t>TTG: Board Resolution 09</w:t>
      </w:r>
    </w:p>
    <w:p w14:paraId="4D0091E4" w14:textId="1C992D64" w:rsidR="00D358F8" w:rsidRPr="008F7EED" w:rsidRDefault="00602BA0" w:rsidP="00995F67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7EED">
        <w:rPr>
          <w:rFonts w:ascii="Arial" w:hAnsi="Arial" w:cs="Arial"/>
          <w:color w:val="010000"/>
          <w:sz w:val="20"/>
        </w:rPr>
        <w:t>On April 22, 2024, Thanh Tri Garment JSC announced Resolution No. 09/2024/NQ-HDQT on adjusting and supplementing the content of the plan for using capital obtained from the private placement to increase the Company's charter capital as follows:</w:t>
      </w:r>
    </w:p>
    <w:p w14:paraId="29E9B39E" w14:textId="77777777" w:rsidR="00D358F8" w:rsidRPr="008F7EED" w:rsidRDefault="00602BA0" w:rsidP="00995F67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F7EED">
        <w:rPr>
          <w:rFonts w:ascii="Arial" w:hAnsi="Arial" w:cs="Arial"/>
          <w:color w:val="010000"/>
          <w:sz w:val="20"/>
        </w:rPr>
        <w:t>‎‎Article 1.</w:t>
      </w:r>
      <w:proofErr w:type="gramEnd"/>
      <w:r w:rsidRPr="008F7EED">
        <w:rPr>
          <w:rFonts w:ascii="Arial" w:hAnsi="Arial" w:cs="Arial"/>
          <w:color w:val="010000"/>
          <w:sz w:val="20"/>
        </w:rPr>
        <w:t xml:space="preserve"> Adjust and supplement the plan for using proceeds from the offering as follows:</w:t>
      </w:r>
    </w:p>
    <w:p w14:paraId="059C7B6F" w14:textId="3594CC49" w:rsidR="00D358F8" w:rsidRPr="008F7EED" w:rsidRDefault="00602BA0" w:rsidP="00995F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7EED">
        <w:rPr>
          <w:rFonts w:ascii="Arial" w:hAnsi="Arial" w:cs="Arial"/>
          <w:color w:val="010000"/>
          <w:sz w:val="20"/>
        </w:rPr>
        <w:t>According to the Extraordinary General Mandate 2023 No. 02/2023/NQ-DHDCD dated November 9, 2024</w:t>
      </w:r>
      <w:r w:rsidR="00244072" w:rsidRPr="008F7EED">
        <w:rPr>
          <w:rFonts w:ascii="Arial" w:hAnsi="Arial" w:cs="Arial"/>
          <w:color w:val="010000"/>
          <w:sz w:val="20"/>
        </w:rPr>
        <w:t xml:space="preserve"> and Board Resolution No. 04/2024/NQ-HDQT dated March 18, 2024</w:t>
      </w:r>
      <w:r w:rsidRPr="008F7EED">
        <w:rPr>
          <w:rFonts w:ascii="Arial" w:hAnsi="Arial" w:cs="Arial"/>
          <w:color w:val="010000"/>
          <w:sz w:val="20"/>
        </w:rPr>
        <w:t>, detailed contents of the plan to use the proceeds from the private placement to increase the Company's charter capital (VND 14 billion) will be used as follows: (1) Supplement capital to upgrade and renovate production factories; (2) pay debt to State management agencies and (3) Pay the Company’s due debts, labor wages, and premises rent.</w:t>
      </w:r>
    </w:p>
    <w:p w14:paraId="5F380C4B" w14:textId="7C7A175B" w:rsidR="00D358F8" w:rsidRPr="008F7EED" w:rsidRDefault="00602BA0" w:rsidP="00995F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F7EED">
        <w:rPr>
          <w:rFonts w:ascii="Arial" w:hAnsi="Arial" w:cs="Arial"/>
          <w:color w:val="010000"/>
          <w:sz w:val="20"/>
        </w:rPr>
        <w:t>According to the production and business plan, construction investment plan, and actual implementation situation of the Company.</w:t>
      </w:r>
      <w:proofErr w:type="gramEnd"/>
      <w:r w:rsidRPr="008F7EED">
        <w:rPr>
          <w:rFonts w:ascii="Arial" w:hAnsi="Arial" w:cs="Arial"/>
          <w:color w:val="010000"/>
          <w:sz w:val="20"/>
        </w:rPr>
        <w:t xml:space="preserve"> The Board of Directors approves adjusting the plan for using the proceeds from the offering as follows:</w:t>
      </w:r>
    </w:p>
    <w:tbl>
      <w:tblPr>
        <w:tblStyle w:val="a"/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75"/>
        <w:gridCol w:w="1743"/>
        <w:gridCol w:w="1747"/>
        <w:gridCol w:w="1619"/>
        <w:gridCol w:w="1403"/>
      </w:tblGrid>
      <w:tr w:rsidR="00D358F8" w:rsidRPr="008F7EED" w14:paraId="00A36189" w14:textId="77777777" w:rsidTr="008F7EED">
        <w:tc>
          <w:tcPr>
            <w:tcW w:w="14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007E6" w14:textId="77777777" w:rsidR="00D358F8" w:rsidRPr="008F7EED" w:rsidRDefault="00602BA0" w:rsidP="0060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BCFE1" w14:textId="77777777" w:rsidR="00D358F8" w:rsidRPr="008F7EED" w:rsidRDefault="00602BA0" w:rsidP="0060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Total value (VND)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2D5F6" w14:textId="77777777" w:rsidR="00D358F8" w:rsidRPr="008F7EED" w:rsidRDefault="00602BA0" w:rsidP="0060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Value taken from share issuance source (VND)</w:t>
            </w:r>
            <w:bookmarkStart w:id="0" w:name="_GoBack"/>
            <w:bookmarkEnd w:id="0"/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7156F" w14:textId="77777777" w:rsidR="00D358F8" w:rsidRPr="008F7EED" w:rsidRDefault="00602BA0" w:rsidP="0060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Supplement from other business activities and capital sources of the Company (VND)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E1FB5" w14:textId="2C38E655" w:rsidR="00D358F8" w:rsidRPr="008F7EED" w:rsidRDefault="00602BA0" w:rsidP="0060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Expected time</w:t>
            </w:r>
          </w:p>
        </w:tc>
      </w:tr>
      <w:tr w:rsidR="00D358F8" w:rsidRPr="008F7EED" w14:paraId="334E5C35" w14:textId="77777777" w:rsidTr="008F7EED">
        <w:tc>
          <w:tcPr>
            <w:tcW w:w="14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18523" w14:textId="77777777" w:rsidR="00D358F8" w:rsidRPr="008F7EED" w:rsidRDefault="00602BA0" w:rsidP="0060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Pay debts to state management agencies (social insurance debt)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D4450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3,455,832,300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2AA09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3,400,000,000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1EBE5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55,832,300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7374C1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 xml:space="preserve">In </w:t>
            </w:r>
          </w:p>
          <w:p w14:paraId="7052CB4E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Q3/2024</w:t>
            </w:r>
          </w:p>
        </w:tc>
      </w:tr>
      <w:tr w:rsidR="00D358F8" w:rsidRPr="008F7EED" w14:paraId="781363B8" w14:textId="77777777" w:rsidTr="008F7EED">
        <w:tc>
          <w:tcPr>
            <w:tcW w:w="14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4343E" w14:textId="77777777" w:rsidR="00D358F8" w:rsidRPr="008F7EED" w:rsidRDefault="00602BA0" w:rsidP="0060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Payment of labor wages (salary costs of employees and labor for 3 months of Q3/2024)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52A4E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4,306,069,700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F4CEE0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4,300,000,000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1275E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6,069,700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3FF945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In</w:t>
            </w:r>
          </w:p>
          <w:p w14:paraId="114AA7C8" w14:textId="6B29270D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Q</w:t>
            </w:r>
            <w:r w:rsidR="008F7EED" w:rsidRPr="008F7EED">
              <w:rPr>
                <w:rFonts w:ascii="Arial" w:hAnsi="Arial" w:cs="Arial"/>
                <w:color w:val="010000"/>
                <w:sz w:val="20"/>
              </w:rPr>
              <w:t>3</w:t>
            </w:r>
            <w:r w:rsidRPr="008F7EED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</w:tr>
      <w:tr w:rsidR="00D358F8" w:rsidRPr="008F7EED" w14:paraId="08187280" w14:textId="77777777" w:rsidTr="008F7EED">
        <w:tc>
          <w:tcPr>
            <w:tcW w:w="14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56F4D" w14:textId="77777777" w:rsidR="00D358F8" w:rsidRPr="008F7EED" w:rsidRDefault="00602BA0" w:rsidP="0060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Supplement capital to upgrade and renovate production factories.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B8E59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4,349,591,000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0E112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4,000,000,000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74961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349,591,000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16DFEA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In</w:t>
            </w:r>
          </w:p>
          <w:p w14:paraId="2898C709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Q3/2024</w:t>
            </w:r>
          </w:p>
        </w:tc>
      </w:tr>
      <w:tr w:rsidR="00D358F8" w:rsidRPr="008F7EED" w14:paraId="2A5F76A0" w14:textId="77777777" w:rsidTr="008F7EED">
        <w:tc>
          <w:tcPr>
            <w:tcW w:w="14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D3DE4" w14:textId="77777777" w:rsidR="00D358F8" w:rsidRPr="008F7EED" w:rsidRDefault="00602BA0" w:rsidP="0060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6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Payment of premises rental costs (from April 2024 to April 2025)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6C1FCF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2,406,600,000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D02B7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2,300,000,000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E215E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106,600,000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2C26D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In</w:t>
            </w:r>
          </w:p>
          <w:p w14:paraId="2BA9C10A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Q3/2024</w:t>
            </w:r>
          </w:p>
        </w:tc>
      </w:tr>
      <w:tr w:rsidR="00D358F8" w:rsidRPr="008F7EED" w14:paraId="4E6E6A5F" w14:textId="77777777" w:rsidTr="008F7EED">
        <w:tc>
          <w:tcPr>
            <w:tcW w:w="141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6915F" w14:textId="77777777" w:rsidR="00D358F8" w:rsidRPr="008F7EED" w:rsidRDefault="00602BA0" w:rsidP="00602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13BAA9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14,518,093,000</w:t>
            </w:r>
          </w:p>
        </w:tc>
        <w:tc>
          <w:tcPr>
            <w:tcW w:w="9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CB45F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14,000,000,000</w:t>
            </w:r>
          </w:p>
        </w:tc>
        <w:tc>
          <w:tcPr>
            <w:tcW w:w="8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06539" w14:textId="77777777" w:rsidR="00D358F8" w:rsidRPr="008F7EED" w:rsidRDefault="00602BA0" w:rsidP="008F3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8F7EED">
              <w:rPr>
                <w:rFonts w:ascii="Arial" w:hAnsi="Arial" w:cs="Arial"/>
                <w:color w:val="010000"/>
                <w:sz w:val="20"/>
              </w:rPr>
              <w:t>518,093,000</w:t>
            </w:r>
          </w:p>
        </w:tc>
        <w:tc>
          <w:tcPr>
            <w:tcW w:w="7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804D7" w14:textId="77777777" w:rsidR="00D358F8" w:rsidRPr="008F7EED" w:rsidRDefault="00D358F8" w:rsidP="008F3429">
            <w:pP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27D5411F" w14:textId="77777777" w:rsidR="00D358F8" w:rsidRPr="008F7EED" w:rsidRDefault="00602BA0" w:rsidP="00995F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7EED">
        <w:rPr>
          <w:rFonts w:ascii="Arial" w:hAnsi="Arial" w:cs="Arial"/>
          <w:color w:val="010000"/>
          <w:sz w:val="20"/>
        </w:rPr>
        <w:t xml:space="preserve">Plan on compensating for the shortfall in capital expected to be mobilized from the offering: In case not all shares are offered as expected and the capital mobilized from the offering is not as expected, </w:t>
      </w:r>
      <w:r w:rsidRPr="008F7EED">
        <w:rPr>
          <w:rFonts w:ascii="Arial" w:hAnsi="Arial" w:cs="Arial"/>
          <w:color w:val="010000"/>
          <w:sz w:val="20"/>
        </w:rPr>
        <w:lastRenderedPageBreak/>
        <w:t>the Board of Directors will implement a plan to compensate for the capital shortage, including but not limited to borrowing from bank credit and/or mobilizing other legal capital sources, using capital obtained from business activities to supplement working capital and repay debt; adjust the plan on using capital and prioritizing the use of funds raised from the offering in the order arranged in the table above.</w:t>
      </w:r>
    </w:p>
    <w:p w14:paraId="3B301702" w14:textId="77777777" w:rsidR="00D358F8" w:rsidRPr="008F7EED" w:rsidRDefault="00602BA0" w:rsidP="00995F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F7EED">
        <w:rPr>
          <w:rFonts w:ascii="Arial" w:hAnsi="Arial" w:cs="Arial"/>
          <w:color w:val="010000"/>
          <w:sz w:val="20"/>
        </w:rPr>
        <w:t>‎‎Article 2.</w:t>
      </w:r>
      <w:proofErr w:type="gramEnd"/>
      <w:r w:rsidRPr="008F7EED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3EEF6BE9" w14:textId="73538074" w:rsidR="00D358F8" w:rsidRPr="008F7EED" w:rsidRDefault="00602BA0" w:rsidP="00995F6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F7EED">
        <w:rPr>
          <w:rFonts w:ascii="Arial" w:hAnsi="Arial" w:cs="Arial"/>
          <w:color w:val="010000"/>
          <w:sz w:val="20"/>
        </w:rPr>
        <w:t xml:space="preserve">Members of the Board of </w:t>
      </w:r>
      <w:r w:rsidR="008F7EED" w:rsidRPr="008F7EED">
        <w:rPr>
          <w:rFonts w:ascii="Arial" w:hAnsi="Arial" w:cs="Arial"/>
          <w:color w:val="010000"/>
          <w:sz w:val="20"/>
        </w:rPr>
        <w:t>Directors</w:t>
      </w:r>
      <w:r w:rsidRPr="008F7EED">
        <w:rPr>
          <w:rFonts w:ascii="Arial" w:hAnsi="Arial" w:cs="Arial"/>
          <w:color w:val="010000"/>
          <w:sz w:val="20"/>
        </w:rPr>
        <w:t xml:space="preserve">, the </w:t>
      </w:r>
      <w:r w:rsidR="008F7EED" w:rsidRPr="008F7EED">
        <w:rPr>
          <w:rFonts w:ascii="Arial" w:hAnsi="Arial" w:cs="Arial"/>
          <w:color w:val="010000"/>
          <w:sz w:val="20"/>
        </w:rPr>
        <w:t xml:space="preserve">Executive </w:t>
      </w:r>
      <w:r w:rsidRPr="008F7EED">
        <w:rPr>
          <w:rFonts w:ascii="Arial" w:hAnsi="Arial" w:cs="Arial"/>
          <w:color w:val="010000"/>
          <w:sz w:val="20"/>
        </w:rPr>
        <w:t>Board</w:t>
      </w:r>
      <w:r w:rsidR="00385520" w:rsidRPr="00385520">
        <w:rPr>
          <w:rFonts w:ascii="Arial" w:hAnsi="Arial" w:cs="Arial"/>
          <w:color w:val="010000"/>
          <w:sz w:val="20"/>
        </w:rPr>
        <w:t xml:space="preserve"> </w:t>
      </w:r>
      <w:r w:rsidR="00385520">
        <w:rPr>
          <w:rFonts w:ascii="Arial" w:hAnsi="Arial" w:cs="Arial"/>
          <w:color w:val="010000"/>
          <w:sz w:val="20"/>
        </w:rPr>
        <w:t xml:space="preserve">of </w:t>
      </w:r>
      <w:r w:rsidR="00385520" w:rsidRPr="008F7EED">
        <w:rPr>
          <w:rFonts w:ascii="Arial" w:hAnsi="Arial" w:cs="Arial"/>
          <w:color w:val="010000"/>
          <w:sz w:val="20"/>
        </w:rPr>
        <w:t>Management</w:t>
      </w:r>
      <w:r w:rsidRPr="008F7EED">
        <w:rPr>
          <w:rFonts w:ascii="Arial" w:hAnsi="Arial" w:cs="Arial"/>
          <w:color w:val="010000"/>
          <w:sz w:val="20"/>
        </w:rPr>
        <w:t xml:space="preserve">, and relevant departments and individuals are responsible for implementing this Resolution. </w:t>
      </w:r>
    </w:p>
    <w:sectPr w:rsidR="00D358F8" w:rsidRPr="008F7EED" w:rsidSect="00602BA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F8"/>
    <w:rsid w:val="00244072"/>
    <w:rsid w:val="00385520"/>
    <w:rsid w:val="00602BA0"/>
    <w:rsid w:val="008F3429"/>
    <w:rsid w:val="008F7EED"/>
    <w:rsid w:val="00995F67"/>
    <w:rsid w:val="00D3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08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8" w:lineRule="auto"/>
      <w:ind w:firstLine="21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338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pPr>
      <w:spacing w:line="288" w:lineRule="auto"/>
      <w:ind w:firstLine="35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338" w:lineRule="auto"/>
      <w:ind w:firstLine="21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8" w:lineRule="auto"/>
      <w:ind w:firstLine="21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338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pPr>
      <w:spacing w:line="288" w:lineRule="auto"/>
      <w:ind w:firstLine="35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338" w:lineRule="auto"/>
      <w:ind w:firstLine="21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6lUIkfQi5r2+9zMM3Z68yjUmoQ==">CgMxLjA4AHIhMWNlT0oyYUJTR1FkR1NjTE1qSmVMOFQteFV3YW9jblpK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2024-04-25T03:36:00Z</dcterms:created>
  <dcterms:modified xsi:type="dcterms:W3CDTF">2024-04-26T08:37:00Z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1e59269232ea4dc22dd881f5f208c3a703ef1692706fc8d9149e51f25af5f207</vt:lpwstr>
  </property>
</Properties>
</file>