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3CA8" w14:textId="77777777" w:rsidR="001C2E76" w:rsidRPr="003C5246" w:rsidRDefault="000C429C" w:rsidP="00FE6EE9">
      <w:pPr>
        <w:pBdr>
          <w:top w:val="nil"/>
          <w:left w:val="nil"/>
          <w:bottom w:val="nil"/>
          <w:right w:val="nil"/>
          <w:between w:val="nil"/>
        </w:pBdr>
        <w:tabs>
          <w:tab w:val="left" w:pos="4694"/>
        </w:tabs>
        <w:spacing w:after="120" w:line="360" w:lineRule="auto"/>
        <w:rPr>
          <w:rFonts w:ascii="Arial" w:eastAsia="Arial" w:hAnsi="Arial" w:cs="Arial"/>
          <w:b/>
          <w:color w:val="010000"/>
          <w:sz w:val="20"/>
          <w:szCs w:val="20"/>
        </w:rPr>
      </w:pPr>
      <w:r w:rsidRPr="003C5246">
        <w:rPr>
          <w:rFonts w:ascii="Arial" w:hAnsi="Arial" w:cs="Arial"/>
          <w:b/>
          <w:color w:val="010000"/>
          <w:sz w:val="20"/>
        </w:rPr>
        <w:t>XMC: Annual General Mandate 2024</w:t>
      </w:r>
    </w:p>
    <w:p w14:paraId="2E53B473" w14:textId="77777777" w:rsidR="001C2E76" w:rsidRPr="003C5246" w:rsidRDefault="000C429C" w:rsidP="00FE6EE9">
      <w:pPr>
        <w:pBdr>
          <w:top w:val="nil"/>
          <w:left w:val="nil"/>
          <w:bottom w:val="nil"/>
          <w:right w:val="nil"/>
          <w:between w:val="nil"/>
        </w:pBdr>
        <w:tabs>
          <w:tab w:val="left" w:pos="4694"/>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On April 20, 2024, Vinaconex Xuan Mai Concrete &amp; Construction JSC announced General Mandate No. 05/2024/NQ/XMC-DHDCDTN as follows </w:t>
      </w:r>
    </w:p>
    <w:p w14:paraId="5C3E7B30" w14:textId="77777777" w:rsidR="001C2E76" w:rsidRPr="003C5246" w:rsidRDefault="000C429C" w:rsidP="00FE6EE9">
      <w:pPr>
        <w:pBdr>
          <w:top w:val="nil"/>
          <w:left w:val="nil"/>
          <w:bottom w:val="nil"/>
          <w:right w:val="nil"/>
          <w:between w:val="nil"/>
        </w:pBdr>
        <w:tabs>
          <w:tab w:val="left" w:pos="9946"/>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Article 1: Approve the Report on the activities of the Board of Directors in 2023 and the operational orientation for 2024 </w:t>
      </w:r>
    </w:p>
    <w:p w14:paraId="6408D15A"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Some targets in 2023 of the Holding Company and Consolidation of member units are as follows:</w:t>
      </w:r>
    </w:p>
    <w:p w14:paraId="41545FA2"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The Holding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
        <w:gridCol w:w="2135"/>
        <w:gridCol w:w="1188"/>
        <w:gridCol w:w="20"/>
        <w:gridCol w:w="1612"/>
        <w:gridCol w:w="9"/>
        <w:gridCol w:w="1699"/>
        <w:gridCol w:w="13"/>
        <w:gridCol w:w="1722"/>
      </w:tblGrid>
      <w:tr w:rsidR="001C2E76" w:rsidRPr="003C5246" w14:paraId="655E2B15" w14:textId="77777777" w:rsidTr="00FE6EE9">
        <w:tc>
          <w:tcPr>
            <w:tcW w:w="343" w:type="pct"/>
            <w:shd w:val="clear" w:color="auto" w:fill="auto"/>
            <w:tcMar>
              <w:top w:w="0" w:type="dxa"/>
              <w:bottom w:w="0" w:type="dxa"/>
            </w:tcMar>
            <w:vAlign w:val="center"/>
          </w:tcPr>
          <w:p w14:paraId="5CE59FF1"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No.</w:t>
            </w:r>
          </w:p>
        </w:tc>
        <w:tc>
          <w:tcPr>
            <w:tcW w:w="1184" w:type="pct"/>
            <w:shd w:val="clear" w:color="auto" w:fill="auto"/>
            <w:tcMar>
              <w:top w:w="0" w:type="dxa"/>
              <w:bottom w:w="0" w:type="dxa"/>
            </w:tcMar>
            <w:vAlign w:val="center"/>
          </w:tcPr>
          <w:p w14:paraId="7035D57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Targets</w:t>
            </w:r>
          </w:p>
        </w:tc>
        <w:tc>
          <w:tcPr>
            <w:tcW w:w="659" w:type="pct"/>
            <w:shd w:val="clear" w:color="auto" w:fill="auto"/>
            <w:tcMar>
              <w:top w:w="0" w:type="dxa"/>
              <w:bottom w:w="0" w:type="dxa"/>
            </w:tcMar>
            <w:vAlign w:val="center"/>
          </w:tcPr>
          <w:p w14:paraId="5C4A115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Unit</w:t>
            </w:r>
          </w:p>
        </w:tc>
        <w:tc>
          <w:tcPr>
            <w:tcW w:w="910" w:type="pct"/>
            <w:gridSpan w:val="3"/>
            <w:shd w:val="clear" w:color="auto" w:fill="auto"/>
            <w:tcMar>
              <w:top w:w="0" w:type="dxa"/>
              <w:bottom w:w="0" w:type="dxa"/>
            </w:tcMar>
            <w:vAlign w:val="center"/>
          </w:tcPr>
          <w:p w14:paraId="20870BF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Plan in 2023</w:t>
            </w:r>
          </w:p>
        </w:tc>
        <w:tc>
          <w:tcPr>
            <w:tcW w:w="949" w:type="pct"/>
            <w:gridSpan w:val="2"/>
            <w:shd w:val="clear" w:color="auto" w:fill="auto"/>
            <w:tcMar>
              <w:top w:w="0" w:type="dxa"/>
              <w:bottom w:w="0" w:type="dxa"/>
            </w:tcMar>
            <w:vAlign w:val="center"/>
          </w:tcPr>
          <w:p w14:paraId="77E3F89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Results in 2023</w:t>
            </w:r>
          </w:p>
        </w:tc>
        <w:tc>
          <w:tcPr>
            <w:tcW w:w="955" w:type="pct"/>
            <w:shd w:val="clear" w:color="auto" w:fill="auto"/>
            <w:tcMar>
              <w:top w:w="0" w:type="dxa"/>
              <w:bottom w:w="0" w:type="dxa"/>
            </w:tcMar>
            <w:vAlign w:val="center"/>
          </w:tcPr>
          <w:p w14:paraId="7FC5D46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Result/Plan Rate</w:t>
            </w:r>
          </w:p>
          <w:p w14:paraId="63739D1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2023</w:t>
            </w:r>
          </w:p>
        </w:tc>
      </w:tr>
      <w:tr w:rsidR="001C2E76" w:rsidRPr="003C5246" w14:paraId="198DF9BA" w14:textId="77777777" w:rsidTr="00FE6EE9">
        <w:tc>
          <w:tcPr>
            <w:tcW w:w="343" w:type="pct"/>
            <w:shd w:val="clear" w:color="auto" w:fill="auto"/>
            <w:tcMar>
              <w:top w:w="0" w:type="dxa"/>
              <w:bottom w:w="0" w:type="dxa"/>
            </w:tcMar>
            <w:vAlign w:val="center"/>
          </w:tcPr>
          <w:p w14:paraId="68A7B98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w:t>
            </w:r>
          </w:p>
        </w:tc>
        <w:tc>
          <w:tcPr>
            <w:tcW w:w="1184" w:type="pct"/>
            <w:shd w:val="clear" w:color="auto" w:fill="auto"/>
            <w:tcMar>
              <w:top w:w="0" w:type="dxa"/>
              <w:bottom w:w="0" w:type="dxa"/>
            </w:tcMar>
            <w:vAlign w:val="center"/>
          </w:tcPr>
          <w:p w14:paraId="0584E49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output</w:t>
            </w:r>
          </w:p>
        </w:tc>
        <w:tc>
          <w:tcPr>
            <w:tcW w:w="659" w:type="pct"/>
            <w:shd w:val="clear" w:color="auto" w:fill="auto"/>
            <w:tcMar>
              <w:top w:w="0" w:type="dxa"/>
              <w:bottom w:w="0" w:type="dxa"/>
            </w:tcMar>
            <w:vAlign w:val="center"/>
          </w:tcPr>
          <w:p w14:paraId="5641E39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910" w:type="pct"/>
            <w:gridSpan w:val="3"/>
            <w:shd w:val="clear" w:color="auto" w:fill="auto"/>
            <w:tcMar>
              <w:top w:w="0" w:type="dxa"/>
              <w:bottom w:w="0" w:type="dxa"/>
            </w:tcMar>
            <w:vAlign w:val="center"/>
          </w:tcPr>
          <w:p w14:paraId="38C62D2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2,762.775</w:t>
            </w:r>
          </w:p>
        </w:tc>
        <w:tc>
          <w:tcPr>
            <w:tcW w:w="949" w:type="pct"/>
            <w:gridSpan w:val="2"/>
            <w:shd w:val="clear" w:color="auto" w:fill="auto"/>
            <w:tcMar>
              <w:top w:w="0" w:type="dxa"/>
              <w:bottom w:w="0" w:type="dxa"/>
            </w:tcMar>
            <w:vAlign w:val="center"/>
          </w:tcPr>
          <w:p w14:paraId="25BEAAE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2,124.743</w:t>
            </w:r>
          </w:p>
        </w:tc>
        <w:tc>
          <w:tcPr>
            <w:tcW w:w="955" w:type="pct"/>
            <w:shd w:val="clear" w:color="auto" w:fill="auto"/>
            <w:tcMar>
              <w:top w:w="0" w:type="dxa"/>
              <w:bottom w:w="0" w:type="dxa"/>
            </w:tcMar>
            <w:vAlign w:val="center"/>
          </w:tcPr>
          <w:p w14:paraId="1EAE2353"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76.9%</w:t>
            </w:r>
          </w:p>
        </w:tc>
      </w:tr>
      <w:tr w:rsidR="001C2E76" w:rsidRPr="003C5246" w14:paraId="00F41EB4" w14:textId="77777777" w:rsidTr="00FE6EE9">
        <w:tc>
          <w:tcPr>
            <w:tcW w:w="343" w:type="pct"/>
            <w:shd w:val="clear" w:color="auto" w:fill="auto"/>
            <w:tcMar>
              <w:top w:w="0" w:type="dxa"/>
              <w:bottom w:w="0" w:type="dxa"/>
            </w:tcMar>
            <w:vAlign w:val="center"/>
          </w:tcPr>
          <w:p w14:paraId="76B20E7D"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w:t>
            </w:r>
          </w:p>
        </w:tc>
        <w:tc>
          <w:tcPr>
            <w:tcW w:w="1184" w:type="pct"/>
            <w:shd w:val="clear" w:color="auto" w:fill="auto"/>
            <w:tcMar>
              <w:top w:w="0" w:type="dxa"/>
              <w:bottom w:w="0" w:type="dxa"/>
            </w:tcMar>
            <w:vAlign w:val="center"/>
          </w:tcPr>
          <w:p w14:paraId="27E2BAE9"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revenue</w:t>
            </w:r>
          </w:p>
        </w:tc>
        <w:tc>
          <w:tcPr>
            <w:tcW w:w="659" w:type="pct"/>
            <w:shd w:val="clear" w:color="auto" w:fill="auto"/>
            <w:tcMar>
              <w:top w:w="0" w:type="dxa"/>
              <w:bottom w:w="0" w:type="dxa"/>
            </w:tcMar>
            <w:vAlign w:val="center"/>
          </w:tcPr>
          <w:p w14:paraId="40294CE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910" w:type="pct"/>
            <w:gridSpan w:val="3"/>
            <w:shd w:val="clear" w:color="auto" w:fill="auto"/>
            <w:tcMar>
              <w:top w:w="0" w:type="dxa"/>
              <w:bottom w:w="0" w:type="dxa"/>
            </w:tcMar>
            <w:vAlign w:val="center"/>
          </w:tcPr>
          <w:p w14:paraId="0B77B54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2,690.356</w:t>
            </w:r>
          </w:p>
        </w:tc>
        <w:tc>
          <w:tcPr>
            <w:tcW w:w="949" w:type="pct"/>
            <w:gridSpan w:val="2"/>
            <w:shd w:val="clear" w:color="auto" w:fill="auto"/>
            <w:tcMar>
              <w:top w:w="0" w:type="dxa"/>
              <w:bottom w:w="0" w:type="dxa"/>
            </w:tcMar>
            <w:vAlign w:val="center"/>
          </w:tcPr>
          <w:p w14:paraId="0A720E3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2,188.693</w:t>
            </w:r>
          </w:p>
        </w:tc>
        <w:tc>
          <w:tcPr>
            <w:tcW w:w="955" w:type="pct"/>
            <w:shd w:val="clear" w:color="auto" w:fill="auto"/>
            <w:tcMar>
              <w:top w:w="0" w:type="dxa"/>
              <w:bottom w:w="0" w:type="dxa"/>
            </w:tcMar>
            <w:vAlign w:val="center"/>
          </w:tcPr>
          <w:p w14:paraId="5498B211"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81.4%</w:t>
            </w:r>
          </w:p>
        </w:tc>
      </w:tr>
      <w:tr w:rsidR="001C2E76" w:rsidRPr="003C5246" w14:paraId="713EEDA1" w14:textId="77777777" w:rsidTr="00FE6EE9">
        <w:tc>
          <w:tcPr>
            <w:tcW w:w="343" w:type="pct"/>
            <w:shd w:val="clear" w:color="auto" w:fill="auto"/>
            <w:tcMar>
              <w:top w:w="0" w:type="dxa"/>
              <w:bottom w:w="0" w:type="dxa"/>
            </w:tcMar>
            <w:vAlign w:val="center"/>
          </w:tcPr>
          <w:p w14:paraId="304AA1C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3</w:t>
            </w:r>
          </w:p>
        </w:tc>
        <w:tc>
          <w:tcPr>
            <w:tcW w:w="1184" w:type="pct"/>
            <w:shd w:val="clear" w:color="auto" w:fill="auto"/>
            <w:tcMar>
              <w:top w:w="0" w:type="dxa"/>
              <w:bottom w:w="0" w:type="dxa"/>
            </w:tcMar>
            <w:vAlign w:val="center"/>
          </w:tcPr>
          <w:p w14:paraId="3A2D2696" w14:textId="5B2A628D"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before tax</w:t>
            </w:r>
          </w:p>
        </w:tc>
        <w:tc>
          <w:tcPr>
            <w:tcW w:w="659" w:type="pct"/>
            <w:shd w:val="clear" w:color="auto" w:fill="auto"/>
            <w:tcMar>
              <w:top w:w="0" w:type="dxa"/>
              <w:bottom w:w="0" w:type="dxa"/>
            </w:tcMar>
            <w:vAlign w:val="center"/>
          </w:tcPr>
          <w:p w14:paraId="712E1EE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910" w:type="pct"/>
            <w:gridSpan w:val="3"/>
            <w:shd w:val="clear" w:color="auto" w:fill="auto"/>
            <w:tcMar>
              <w:top w:w="0" w:type="dxa"/>
              <w:bottom w:w="0" w:type="dxa"/>
            </w:tcMar>
            <w:vAlign w:val="center"/>
          </w:tcPr>
          <w:p w14:paraId="11651E6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92.538</w:t>
            </w:r>
          </w:p>
        </w:tc>
        <w:tc>
          <w:tcPr>
            <w:tcW w:w="949" w:type="pct"/>
            <w:gridSpan w:val="2"/>
            <w:shd w:val="clear" w:color="auto" w:fill="auto"/>
            <w:tcMar>
              <w:top w:w="0" w:type="dxa"/>
              <w:bottom w:w="0" w:type="dxa"/>
            </w:tcMar>
            <w:vAlign w:val="center"/>
          </w:tcPr>
          <w:p w14:paraId="6F4C00CD"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72.289</w:t>
            </w:r>
          </w:p>
        </w:tc>
        <w:tc>
          <w:tcPr>
            <w:tcW w:w="955" w:type="pct"/>
            <w:shd w:val="clear" w:color="auto" w:fill="auto"/>
            <w:tcMar>
              <w:top w:w="0" w:type="dxa"/>
              <w:bottom w:w="0" w:type="dxa"/>
            </w:tcMar>
            <w:vAlign w:val="center"/>
          </w:tcPr>
          <w:p w14:paraId="51C798D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78.1%</w:t>
            </w:r>
          </w:p>
        </w:tc>
      </w:tr>
      <w:tr w:rsidR="001C2E76" w:rsidRPr="003C5246" w14:paraId="3C4F40E2" w14:textId="77777777" w:rsidTr="00FE6EE9">
        <w:tc>
          <w:tcPr>
            <w:tcW w:w="343" w:type="pct"/>
            <w:shd w:val="clear" w:color="auto" w:fill="auto"/>
            <w:tcMar>
              <w:top w:w="0" w:type="dxa"/>
              <w:bottom w:w="0" w:type="dxa"/>
            </w:tcMar>
            <w:vAlign w:val="center"/>
          </w:tcPr>
          <w:p w14:paraId="162F39E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4</w:t>
            </w:r>
          </w:p>
        </w:tc>
        <w:tc>
          <w:tcPr>
            <w:tcW w:w="1184" w:type="pct"/>
            <w:shd w:val="clear" w:color="auto" w:fill="auto"/>
            <w:tcMar>
              <w:top w:w="0" w:type="dxa"/>
              <w:bottom w:w="0" w:type="dxa"/>
            </w:tcMar>
            <w:vAlign w:val="center"/>
          </w:tcPr>
          <w:p w14:paraId="2CCDACBC"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after tax</w:t>
            </w:r>
          </w:p>
        </w:tc>
        <w:tc>
          <w:tcPr>
            <w:tcW w:w="659" w:type="pct"/>
            <w:shd w:val="clear" w:color="auto" w:fill="auto"/>
            <w:tcMar>
              <w:top w:w="0" w:type="dxa"/>
              <w:bottom w:w="0" w:type="dxa"/>
            </w:tcMar>
            <w:vAlign w:val="center"/>
          </w:tcPr>
          <w:p w14:paraId="69688342"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910" w:type="pct"/>
            <w:gridSpan w:val="3"/>
            <w:shd w:val="clear" w:color="auto" w:fill="auto"/>
            <w:tcMar>
              <w:top w:w="0" w:type="dxa"/>
              <w:bottom w:w="0" w:type="dxa"/>
            </w:tcMar>
            <w:vAlign w:val="center"/>
          </w:tcPr>
          <w:p w14:paraId="69806872"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68.027</w:t>
            </w:r>
          </w:p>
        </w:tc>
        <w:tc>
          <w:tcPr>
            <w:tcW w:w="949" w:type="pct"/>
            <w:gridSpan w:val="2"/>
            <w:shd w:val="clear" w:color="auto" w:fill="auto"/>
            <w:tcMar>
              <w:top w:w="0" w:type="dxa"/>
              <w:bottom w:w="0" w:type="dxa"/>
            </w:tcMar>
            <w:vAlign w:val="center"/>
          </w:tcPr>
          <w:p w14:paraId="7E33C5B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50.402</w:t>
            </w:r>
          </w:p>
        </w:tc>
        <w:tc>
          <w:tcPr>
            <w:tcW w:w="955" w:type="pct"/>
            <w:shd w:val="clear" w:color="auto" w:fill="auto"/>
            <w:tcMar>
              <w:top w:w="0" w:type="dxa"/>
              <w:bottom w:w="0" w:type="dxa"/>
            </w:tcMar>
            <w:vAlign w:val="center"/>
          </w:tcPr>
          <w:p w14:paraId="2334D15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74.1%</w:t>
            </w:r>
          </w:p>
        </w:tc>
      </w:tr>
      <w:tr w:rsidR="001C2E76" w:rsidRPr="003C5246" w14:paraId="0570D9E0" w14:textId="77777777" w:rsidTr="00FE6EE9">
        <w:tc>
          <w:tcPr>
            <w:tcW w:w="5000" w:type="pct"/>
            <w:gridSpan w:val="9"/>
            <w:tcBorders>
              <w:top w:val="nil"/>
              <w:left w:val="nil"/>
              <w:bottom w:val="nil"/>
              <w:right w:val="nil"/>
            </w:tcBorders>
            <w:shd w:val="clear" w:color="auto" w:fill="auto"/>
            <w:tcMar>
              <w:top w:w="0" w:type="dxa"/>
              <w:bottom w:w="0" w:type="dxa"/>
            </w:tcMar>
            <w:vAlign w:val="center"/>
          </w:tcPr>
          <w:p w14:paraId="4778EEE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Consolidate member units:</w:t>
            </w:r>
          </w:p>
        </w:tc>
      </w:tr>
      <w:tr w:rsidR="001C2E76" w:rsidRPr="003C5246" w14:paraId="399DD7D4" w14:textId="77777777" w:rsidTr="00FE6EE9">
        <w:tc>
          <w:tcPr>
            <w:tcW w:w="343" w:type="pct"/>
            <w:tcBorders>
              <w:top w:val="single" w:sz="4" w:space="0" w:color="000000"/>
              <w:left w:val="single" w:sz="4" w:space="0" w:color="000000"/>
              <w:bottom w:val="nil"/>
              <w:right w:val="nil"/>
            </w:tcBorders>
            <w:shd w:val="clear" w:color="auto" w:fill="auto"/>
            <w:tcMar>
              <w:top w:w="0" w:type="dxa"/>
              <w:bottom w:w="0" w:type="dxa"/>
            </w:tcMar>
            <w:vAlign w:val="center"/>
          </w:tcPr>
          <w:p w14:paraId="55631953"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No.</w:t>
            </w:r>
          </w:p>
        </w:tc>
        <w:tc>
          <w:tcPr>
            <w:tcW w:w="1184" w:type="pct"/>
            <w:tcBorders>
              <w:top w:val="single" w:sz="4" w:space="0" w:color="000000"/>
              <w:left w:val="single" w:sz="4" w:space="0" w:color="000000"/>
              <w:bottom w:val="nil"/>
              <w:right w:val="nil"/>
            </w:tcBorders>
            <w:shd w:val="clear" w:color="auto" w:fill="auto"/>
            <w:tcMar>
              <w:top w:w="0" w:type="dxa"/>
              <w:bottom w:w="0" w:type="dxa"/>
            </w:tcMar>
            <w:vAlign w:val="center"/>
          </w:tcPr>
          <w:p w14:paraId="55CF72C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Target</w:t>
            </w:r>
          </w:p>
        </w:tc>
        <w:tc>
          <w:tcPr>
            <w:tcW w:w="670"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1272E5CE"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Unit</w:t>
            </w:r>
          </w:p>
        </w:tc>
        <w:tc>
          <w:tcPr>
            <w:tcW w:w="894" w:type="pct"/>
            <w:tcBorders>
              <w:top w:val="single" w:sz="4" w:space="0" w:color="000000"/>
              <w:left w:val="single" w:sz="4" w:space="0" w:color="000000"/>
              <w:bottom w:val="nil"/>
              <w:right w:val="nil"/>
            </w:tcBorders>
            <w:shd w:val="clear" w:color="auto" w:fill="auto"/>
            <w:tcMar>
              <w:top w:w="0" w:type="dxa"/>
              <w:bottom w:w="0" w:type="dxa"/>
            </w:tcMar>
            <w:vAlign w:val="center"/>
          </w:tcPr>
          <w:p w14:paraId="5CE6DB7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Plan in 2023</w:t>
            </w:r>
          </w:p>
        </w:tc>
        <w:tc>
          <w:tcPr>
            <w:tcW w:w="947"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1F7D3C1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Results in 2023</w:t>
            </w:r>
          </w:p>
        </w:tc>
        <w:tc>
          <w:tcPr>
            <w:tcW w:w="962" w:type="pct"/>
            <w:gridSpan w:val="2"/>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2277277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Result/Plan Rate</w:t>
            </w:r>
          </w:p>
          <w:p w14:paraId="50326D7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2023</w:t>
            </w:r>
          </w:p>
        </w:tc>
      </w:tr>
      <w:tr w:rsidR="001C2E76" w:rsidRPr="003C5246" w14:paraId="24109D72" w14:textId="77777777" w:rsidTr="00FE6EE9">
        <w:tc>
          <w:tcPr>
            <w:tcW w:w="343" w:type="pct"/>
            <w:tcBorders>
              <w:top w:val="single" w:sz="4" w:space="0" w:color="000000"/>
              <w:left w:val="single" w:sz="4" w:space="0" w:color="000000"/>
              <w:bottom w:val="nil"/>
              <w:right w:val="nil"/>
            </w:tcBorders>
            <w:shd w:val="clear" w:color="auto" w:fill="auto"/>
            <w:tcMar>
              <w:top w:w="0" w:type="dxa"/>
              <w:bottom w:w="0" w:type="dxa"/>
            </w:tcMar>
            <w:vAlign w:val="center"/>
          </w:tcPr>
          <w:p w14:paraId="776DADF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w:t>
            </w:r>
          </w:p>
        </w:tc>
        <w:tc>
          <w:tcPr>
            <w:tcW w:w="1184" w:type="pct"/>
            <w:tcBorders>
              <w:top w:val="single" w:sz="4" w:space="0" w:color="000000"/>
              <w:left w:val="single" w:sz="4" w:space="0" w:color="000000"/>
              <w:bottom w:val="nil"/>
              <w:right w:val="nil"/>
            </w:tcBorders>
            <w:shd w:val="clear" w:color="auto" w:fill="auto"/>
            <w:tcMar>
              <w:top w:w="0" w:type="dxa"/>
              <w:bottom w:w="0" w:type="dxa"/>
            </w:tcMar>
            <w:vAlign w:val="center"/>
          </w:tcPr>
          <w:p w14:paraId="45B6CCC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output</w:t>
            </w:r>
          </w:p>
        </w:tc>
        <w:tc>
          <w:tcPr>
            <w:tcW w:w="670"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10DB6449"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894" w:type="pct"/>
            <w:tcBorders>
              <w:top w:val="single" w:sz="4" w:space="0" w:color="000000"/>
              <w:left w:val="single" w:sz="4" w:space="0" w:color="000000"/>
              <w:bottom w:val="nil"/>
              <w:right w:val="nil"/>
            </w:tcBorders>
            <w:shd w:val="clear" w:color="auto" w:fill="auto"/>
            <w:tcMar>
              <w:top w:w="0" w:type="dxa"/>
              <w:bottom w:w="0" w:type="dxa"/>
            </w:tcMar>
            <w:vAlign w:val="center"/>
          </w:tcPr>
          <w:p w14:paraId="4BA30482"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2,914.571</w:t>
            </w:r>
          </w:p>
        </w:tc>
        <w:tc>
          <w:tcPr>
            <w:tcW w:w="947"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47F0CDB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2,229.111</w:t>
            </w:r>
          </w:p>
        </w:tc>
        <w:tc>
          <w:tcPr>
            <w:tcW w:w="962" w:type="pct"/>
            <w:gridSpan w:val="2"/>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7C109AD3"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76.5%</w:t>
            </w:r>
          </w:p>
        </w:tc>
      </w:tr>
      <w:tr w:rsidR="001C2E76" w:rsidRPr="003C5246" w14:paraId="29DDDF9C" w14:textId="77777777" w:rsidTr="00FE6EE9">
        <w:tc>
          <w:tcPr>
            <w:tcW w:w="343" w:type="pct"/>
            <w:tcBorders>
              <w:top w:val="single" w:sz="4" w:space="0" w:color="000000"/>
              <w:left w:val="single" w:sz="4" w:space="0" w:color="000000"/>
              <w:bottom w:val="nil"/>
              <w:right w:val="nil"/>
            </w:tcBorders>
            <w:shd w:val="clear" w:color="auto" w:fill="auto"/>
            <w:tcMar>
              <w:top w:w="0" w:type="dxa"/>
              <w:bottom w:w="0" w:type="dxa"/>
            </w:tcMar>
            <w:vAlign w:val="center"/>
          </w:tcPr>
          <w:p w14:paraId="2C74DD9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w:t>
            </w:r>
          </w:p>
        </w:tc>
        <w:tc>
          <w:tcPr>
            <w:tcW w:w="1184" w:type="pct"/>
            <w:tcBorders>
              <w:top w:val="single" w:sz="4" w:space="0" w:color="000000"/>
              <w:left w:val="single" w:sz="4" w:space="0" w:color="000000"/>
              <w:bottom w:val="nil"/>
              <w:right w:val="nil"/>
            </w:tcBorders>
            <w:shd w:val="clear" w:color="auto" w:fill="auto"/>
            <w:tcMar>
              <w:top w:w="0" w:type="dxa"/>
              <w:bottom w:w="0" w:type="dxa"/>
            </w:tcMar>
            <w:vAlign w:val="center"/>
          </w:tcPr>
          <w:p w14:paraId="1A65555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revenue</w:t>
            </w:r>
          </w:p>
        </w:tc>
        <w:tc>
          <w:tcPr>
            <w:tcW w:w="670"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3C8733D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894" w:type="pct"/>
            <w:tcBorders>
              <w:top w:val="single" w:sz="4" w:space="0" w:color="000000"/>
              <w:left w:val="single" w:sz="4" w:space="0" w:color="000000"/>
              <w:bottom w:val="nil"/>
              <w:right w:val="nil"/>
            </w:tcBorders>
            <w:shd w:val="clear" w:color="auto" w:fill="auto"/>
            <w:tcMar>
              <w:top w:w="0" w:type="dxa"/>
              <w:bottom w:w="0" w:type="dxa"/>
            </w:tcMar>
            <w:vAlign w:val="center"/>
          </w:tcPr>
          <w:p w14:paraId="29DC54B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2,836.926</w:t>
            </w:r>
          </w:p>
        </w:tc>
        <w:tc>
          <w:tcPr>
            <w:tcW w:w="947"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04A9A36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2,311.410</w:t>
            </w:r>
          </w:p>
        </w:tc>
        <w:tc>
          <w:tcPr>
            <w:tcW w:w="962" w:type="pct"/>
            <w:gridSpan w:val="2"/>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7AEE7A7C"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81.5%</w:t>
            </w:r>
          </w:p>
        </w:tc>
      </w:tr>
      <w:tr w:rsidR="001C2E76" w:rsidRPr="003C5246" w14:paraId="36599F86" w14:textId="77777777" w:rsidTr="00FE6EE9">
        <w:tc>
          <w:tcPr>
            <w:tcW w:w="343" w:type="pct"/>
            <w:tcBorders>
              <w:top w:val="single" w:sz="4" w:space="0" w:color="000000"/>
              <w:left w:val="single" w:sz="4" w:space="0" w:color="000000"/>
              <w:bottom w:val="nil"/>
              <w:right w:val="nil"/>
            </w:tcBorders>
            <w:shd w:val="clear" w:color="auto" w:fill="auto"/>
            <w:tcMar>
              <w:top w:w="0" w:type="dxa"/>
              <w:bottom w:w="0" w:type="dxa"/>
            </w:tcMar>
            <w:vAlign w:val="center"/>
          </w:tcPr>
          <w:p w14:paraId="3FD8213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3</w:t>
            </w:r>
          </w:p>
        </w:tc>
        <w:tc>
          <w:tcPr>
            <w:tcW w:w="1184" w:type="pct"/>
            <w:tcBorders>
              <w:top w:val="single" w:sz="4" w:space="0" w:color="000000"/>
              <w:left w:val="single" w:sz="4" w:space="0" w:color="000000"/>
              <w:bottom w:val="nil"/>
              <w:right w:val="nil"/>
            </w:tcBorders>
            <w:shd w:val="clear" w:color="auto" w:fill="auto"/>
            <w:tcMar>
              <w:top w:w="0" w:type="dxa"/>
              <w:bottom w:w="0" w:type="dxa"/>
            </w:tcMar>
            <w:vAlign w:val="center"/>
          </w:tcPr>
          <w:p w14:paraId="617E0D25" w14:textId="0413965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before tax</w:t>
            </w:r>
          </w:p>
        </w:tc>
        <w:tc>
          <w:tcPr>
            <w:tcW w:w="670"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3BCB350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894" w:type="pct"/>
            <w:tcBorders>
              <w:top w:val="single" w:sz="4" w:space="0" w:color="000000"/>
              <w:left w:val="single" w:sz="4" w:space="0" w:color="000000"/>
              <w:bottom w:val="nil"/>
              <w:right w:val="nil"/>
            </w:tcBorders>
            <w:shd w:val="clear" w:color="auto" w:fill="auto"/>
            <w:tcMar>
              <w:top w:w="0" w:type="dxa"/>
              <w:bottom w:w="0" w:type="dxa"/>
            </w:tcMar>
            <w:vAlign w:val="center"/>
          </w:tcPr>
          <w:p w14:paraId="7DBF5A82"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104.959</w:t>
            </w:r>
          </w:p>
        </w:tc>
        <w:tc>
          <w:tcPr>
            <w:tcW w:w="947" w:type="pct"/>
            <w:gridSpan w:val="2"/>
            <w:tcBorders>
              <w:top w:val="single" w:sz="4" w:space="0" w:color="000000"/>
              <w:left w:val="single" w:sz="4" w:space="0" w:color="000000"/>
              <w:bottom w:val="nil"/>
              <w:right w:val="nil"/>
            </w:tcBorders>
            <w:shd w:val="clear" w:color="auto" w:fill="auto"/>
            <w:tcMar>
              <w:top w:w="0" w:type="dxa"/>
              <w:bottom w:w="0" w:type="dxa"/>
            </w:tcMar>
            <w:vAlign w:val="center"/>
          </w:tcPr>
          <w:p w14:paraId="31003A2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66.843</w:t>
            </w:r>
          </w:p>
        </w:tc>
        <w:tc>
          <w:tcPr>
            <w:tcW w:w="962" w:type="pct"/>
            <w:gridSpan w:val="2"/>
            <w:tcBorders>
              <w:top w:val="single" w:sz="4" w:space="0" w:color="000000"/>
              <w:left w:val="single" w:sz="4" w:space="0" w:color="000000"/>
              <w:bottom w:val="nil"/>
              <w:right w:val="single" w:sz="4" w:space="0" w:color="000000"/>
            </w:tcBorders>
            <w:shd w:val="clear" w:color="auto" w:fill="auto"/>
            <w:tcMar>
              <w:top w:w="0" w:type="dxa"/>
              <w:bottom w:w="0" w:type="dxa"/>
            </w:tcMar>
            <w:vAlign w:val="center"/>
          </w:tcPr>
          <w:p w14:paraId="70C450B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63.7%</w:t>
            </w:r>
          </w:p>
        </w:tc>
      </w:tr>
      <w:tr w:rsidR="001C2E76" w:rsidRPr="003C5246" w14:paraId="22BA8202" w14:textId="77777777" w:rsidTr="00FE6EE9">
        <w:tc>
          <w:tcPr>
            <w:tcW w:w="343"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749BB1D"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4</w:t>
            </w:r>
          </w:p>
        </w:tc>
        <w:tc>
          <w:tcPr>
            <w:tcW w:w="1184"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29BFC6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after tax</w:t>
            </w:r>
          </w:p>
        </w:tc>
        <w:tc>
          <w:tcPr>
            <w:tcW w:w="670" w:type="pct"/>
            <w:gridSpan w:val="2"/>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530114E"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Billion VND</w:t>
            </w:r>
          </w:p>
        </w:tc>
        <w:tc>
          <w:tcPr>
            <w:tcW w:w="894"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6014B52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77.582</w:t>
            </w:r>
          </w:p>
        </w:tc>
        <w:tc>
          <w:tcPr>
            <w:tcW w:w="947" w:type="pct"/>
            <w:gridSpan w:val="2"/>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5766E8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42.300</w:t>
            </w: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7A6D2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54.5%</w:t>
            </w:r>
          </w:p>
        </w:tc>
      </w:tr>
    </w:tbl>
    <w:p w14:paraId="681A3E8C"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Fund appropriation, profit distribution and dividend payment: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5"/>
        <w:gridCol w:w="1787"/>
        <w:gridCol w:w="2188"/>
        <w:gridCol w:w="2447"/>
      </w:tblGrid>
      <w:tr w:rsidR="001C2E76" w:rsidRPr="003C5246" w14:paraId="2AE52FB8" w14:textId="77777777" w:rsidTr="00FE6EE9">
        <w:tc>
          <w:tcPr>
            <w:tcW w:w="1439" w:type="pct"/>
            <w:shd w:val="clear" w:color="auto" w:fill="auto"/>
            <w:tcMar>
              <w:top w:w="0" w:type="dxa"/>
              <w:bottom w:w="0" w:type="dxa"/>
            </w:tcMar>
            <w:vAlign w:val="center"/>
          </w:tcPr>
          <w:p w14:paraId="51DE6710" w14:textId="77777777" w:rsidR="001C2E76" w:rsidRPr="003C5246" w:rsidRDefault="000C429C" w:rsidP="003C5246">
            <w:pPr>
              <w:pBdr>
                <w:top w:val="nil"/>
                <w:left w:val="nil"/>
                <w:bottom w:val="nil"/>
                <w:right w:val="nil"/>
                <w:between w:val="nil"/>
              </w:pBdr>
              <w:spacing w:after="120" w:line="360" w:lineRule="auto"/>
              <w:jc w:val="center"/>
              <w:rPr>
                <w:rFonts w:ascii="Arial" w:eastAsia="Arial" w:hAnsi="Arial" w:cs="Arial"/>
                <w:color w:val="010000"/>
                <w:sz w:val="20"/>
                <w:szCs w:val="20"/>
              </w:rPr>
            </w:pPr>
            <w:r w:rsidRPr="003C5246">
              <w:rPr>
                <w:rFonts w:ascii="Arial" w:hAnsi="Arial" w:cs="Arial"/>
                <w:color w:val="010000"/>
                <w:sz w:val="20"/>
              </w:rPr>
              <w:t>Content</w:t>
            </w:r>
          </w:p>
        </w:tc>
        <w:tc>
          <w:tcPr>
            <w:tcW w:w="991" w:type="pct"/>
            <w:shd w:val="clear" w:color="auto" w:fill="auto"/>
            <w:tcMar>
              <w:top w:w="0" w:type="dxa"/>
              <w:bottom w:w="0" w:type="dxa"/>
            </w:tcMar>
            <w:vAlign w:val="center"/>
          </w:tcPr>
          <w:p w14:paraId="5C24A15C" w14:textId="77777777" w:rsidR="001C2E76" w:rsidRPr="003C5246" w:rsidRDefault="000C429C" w:rsidP="003C5246">
            <w:pPr>
              <w:pBdr>
                <w:top w:val="nil"/>
                <w:left w:val="nil"/>
                <w:bottom w:val="nil"/>
                <w:right w:val="nil"/>
                <w:between w:val="nil"/>
              </w:pBdr>
              <w:spacing w:after="120" w:line="360" w:lineRule="auto"/>
              <w:jc w:val="center"/>
              <w:rPr>
                <w:rFonts w:ascii="Arial" w:eastAsia="Arial" w:hAnsi="Arial" w:cs="Arial"/>
                <w:color w:val="010000"/>
                <w:sz w:val="20"/>
                <w:szCs w:val="20"/>
              </w:rPr>
            </w:pPr>
            <w:r w:rsidRPr="003C5246">
              <w:rPr>
                <w:rFonts w:ascii="Arial" w:hAnsi="Arial" w:cs="Arial"/>
                <w:color w:val="010000"/>
                <w:sz w:val="20"/>
              </w:rPr>
              <w:t>General Mandate 2023</w:t>
            </w:r>
          </w:p>
        </w:tc>
        <w:tc>
          <w:tcPr>
            <w:tcW w:w="1213" w:type="pct"/>
            <w:shd w:val="clear" w:color="auto" w:fill="auto"/>
            <w:tcMar>
              <w:top w:w="0" w:type="dxa"/>
              <w:bottom w:w="0" w:type="dxa"/>
            </w:tcMar>
            <w:vAlign w:val="center"/>
          </w:tcPr>
          <w:p w14:paraId="044F2A61" w14:textId="77777777" w:rsidR="001C2E76" w:rsidRPr="003C5246" w:rsidRDefault="000C429C" w:rsidP="003C5246">
            <w:pPr>
              <w:pBdr>
                <w:top w:val="nil"/>
                <w:left w:val="nil"/>
                <w:bottom w:val="nil"/>
                <w:right w:val="nil"/>
                <w:between w:val="nil"/>
              </w:pBdr>
              <w:spacing w:after="120" w:line="360" w:lineRule="auto"/>
              <w:jc w:val="center"/>
              <w:rPr>
                <w:rFonts w:ascii="Arial" w:eastAsia="Arial" w:hAnsi="Arial" w:cs="Arial"/>
                <w:color w:val="010000"/>
                <w:sz w:val="20"/>
                <w:szCs w:val="20"/>
              </w:rPr>
            </w:pPr>
            <w:r w:rsidRPr="003C5246">
              <w:rPr>
                <w:rFonts w:ascii="Arial" w:hAnsi="Arial" w:cs="Arial"/>
                <w:color w:val="010000"/>
                <w:sz w:val="20"/>
              </w:rPr>
              <w:t>Implementation</w:t>
            </w:r>
          </w:p>
        </w:tc>
        <w:tc>
          <w:tcPr>
            <w:tcW w:w="1357" w:type="pct"/>
            <w:shd w:val="clear" w:color="auto" w:fill="auto"/>
            <w:tcMar>
              <w:top w:w="0" w:type="dxa"/>
              <w:bottom w:w="0" w:type="dxa"/>
            </w:tcMar>
            <w:vAlign w:val="center"/>
          </w:tcPr>
          <w:p w14:paraId="6C198A8D" w14:textId="77777777" w:rsidR="001C2E76" w:rsidRPr="003C5246" w:rsidRDefault="000C429C" w:rsidP="003C5246">
            <w:pPr>
              <w:pBdr>
                <w:top w:val="nil"/>
                <w:left w:val="nil"/>
                <w:bottom w:val="nil"/>
                <w:right w:val="nil"/>
                <w:between w:val="nil"/>
              </w:pBdr>
              <w:spacing w:after="120" w:line="360" w:lineRule="auto"/>
              <w:jc w:val="center"/>
              <w:rPr>
                <w:rFonts w:ascii="Arial" w:eastAsia="Arial" w:hAnsi="Arial" w:cs="Arial"/>
                <w:color w:val="010000"/>
                <w:sz w:val="20"/>
                <w:szCs w:val="20"/>
              </w:rPr>
            </w:pPr>
            <w:r w:rsidRPr="003C5246">
              <w:rPr>
                <w:rFonts w:ascii="Arial" w:hAnsi="Arial" w:cs="Arial"/>
                <w:color w:val="010000"/>
                <w:sz w:val="20"/>
              </w:rPr>
              <w:t>Implementation/the General Mandate (%)</w:t>
            </w:r>
          </w:p>
        </w:tc>
      </w:tr>
      <w:tr w:rsidR="001C2E76" w:rsidRPr="003C5246" w14:paraId="11299065" w14:textId="77777777" w:rsidTr="00FE6EE9">
        <w:tc>
          <w:tcPr>
            <w:tcW w:w="1439" w:type="pct"/>
            <w:shd w:val="clear" w:color="auto" w:fill="auto"/>
            <w:tcMar>
              <w:top w:w="0" w:type="dxa"/>
              <w:bottom w:w="0" w:type="dxa"/>
            </w:tcMar>
            <w:vAlign w:val="center"/>
          </w:tcPr>
          <w:p w14:paraId="3564804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Appropriation for bonus fund</w:t>
            </w:r>
          </w:p>
        </w:tc>
        <w:tc>
          <w:tcPr>
            <w:tcW w:w="991" w:type="pct"/>
            <w:shd w:val="clear" w:color="auto" w:fill="auto"/>
            <w:tcMar>
              <w:top w:w="0" w:type="dxa"/>
              <w:bottom w:w="0" w:type="dxa"/>
            </w:tcMar>
            <w:vAlign w:val="center"/>
          </w:tcPr>
          <w:p w14:paraId="6B9A2D3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1,308,301,320</w:t>
            </w:r>
          </w:p>
        </w:tc>
        <w:tc>
          <w:tcPr>
            <w:tcW w:w="1213" w:type="pct"/>
            <w:shd w:val="clear" w:color="auto" w:fill="auto"/>
            <w:tcMar>
              <w:top w:w="0" w:type="dxa"/>
              <w:bottom w:w="0" w:type="dxa"/>
            </w:tcMar>
            <w:vAlign w:val="center"/>
          </w:tcPr>
          <w:p w14:paraId="14C54F6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1,308,301,320</w:t>
            </w:r>
          </w:p>
        </w:tc>
        <w:tc>
          <w:tcPr>
            <w:tcW w:w="1357" w:type="pct"/>
            <w:shd w:val="clear" w:color="auto" w:fill="auto"/>
            <w:tcMar>
              <w:top w:w="0" w:type="dxa"/>
              <w:bottom w:w="0" w:type="dxa"/>
            </w:tcMar>
            <w:vAlign w:val="center"/>
          </w:tcPr>
          <w:p w14:paraId="7083F3B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100%</w:t>
            </w:r>
          </w:p>
        </w:tc>
      </w:tr>
      <w:tr w:rsidR="001C2E76" w:rsidRPr="003C5246" w14:paraId="402B3174" w14:textId="77777777" w:rsidTr="00FE6EE9">
        <w:tc>
          <w:tcPr>
            <w:tcW w:w="1439" w:type="pct"/>
            <w:shd w:val="clear" w:color="auto" w:fill="auto"/>
            <w:tcMar>
              <w:top w:w="0" w:type="dxa"/>
              <w:bottom w:w="0" w:type="dxa"/>
            </w:tcMar>
            <w:vAlign w:val="center"/>
          </w:tcPr>
          <w:p w14:paraId="02952F2A"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Appropriation for welfare fund</w:t>
            </w:r>
          </w:p>
        </w:tc>
        <w:tc>
          <w:tcPr>
            <w:tcW w:w="991" w:type="pct"/>
            <w:shd w:val="clear" w:color="auto" w:fill="auto"/>
            <w:tcMar>
              <w:top w:w="0" w:type="dxa"/>
              <w:bottom w:w="0" w:type="dxa"/>
            </w:tcMar>
            <w:vAlign w:val="center"/>
          </w:tcPr>
          <w:p w14:paraId="303F01C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1,308,301,320</w:t>
            </w:r>
          </w:p>
        </w:tc>
        <w:tc>
          <w:tcPr>
            <w:tcW w:w="1213" w:type="pct"/>
            <w:shd w:val="clear" w:color="auto" w:fill="auto"/>
            <w:tcMar>
              <w:top w:w="0" w:type="dxa"/>
              <w:bottom w:w="0" w:type="dxa"/>
            </w:tcMar>
            <w:vAlign w:val="center"/>
          </w:tcPr>
          <w:p w14:paraId="7C33E68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1,308,301,320</w:t>
            </w:r>
          </w:p>
        </w:tc>
        <w:tc>
          <w:tcPr>
            <w:tcW w:w="1357" w:type="pct"/>
            <w:shd w:val="clear" w:color="auto" w:fill="auto"/>
            <w:tcMar>
              <w:top w:w="0" w:type="dxa"/>
              <w:bottom w:w="0" w:type="dxa"/>
            </w:tcMar>
            <w:vAlign w:val="center"/>
          </w:tcPr>
          <w:p w14:paraId="6E1F41C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100%</w:t>
            </w:r>
          </w:p>
        </w:tc>
      </w:tr>
      <w:tr w:rsidR="001C2E76" w:rsidRPr="003C5246" w14:paraId="0EA5E26B" w14:textId="77777777" w:rsidTr="00FE6EE9">
        <w:tc>
          <w:tcPr>
            <w:tcW w:w="1439" w:type="pct"/>
            <w:shd w:val="clear" w:color="auto" w:fill="auto"/>
            <w:tcMar>
              <w:top w:w="0" w:type="dxa"/>
              <w:bottom w:w="0" w:type="dxa"/>
            </w:tcMar>
            <w:vAlign w:val="center"/>
          </w:tcPr>
          <w:p w14:paraId="541517F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Dividends (%)</w:t>
            </w:r>
          </w:p>
        </w:tc>
        <w:tc>
          <w:tcPr>
            <w:tcW w:w="991" w:type="pct"/>
            <w:shd w:val="clear" w:color="auto" w:fill="auto"/>
            <w:tcMar>
              <w:top w:w="0" w:type="dxa"/>
              <w:bottom w:w="0" w:type="dxa"/>
            </w:tcMar>
            <w:vAlign w:val="center"/>
          </w:tcPr>
          <w:p w14:paraId="48453CFD" w14:textId="5F22F9EA"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6% </w:t>
            </w:r>
            <w:r w:rsidR="003C5246" w:rsidRPr="003C5246">
              <w:rPr>
                <w:rFonts w:ascii="Arial" w:hAnsi="Arial" w:cs="Arial"/>
                <w:color w:val="010000"/>
                <w:sz w:val="20"/>
              </w:rPr>
              <w:t>by</w:t>
            </w:r>
            <w:r w:rsidRPr="003C5246">
              <w:rPr>
                <w:rFonts w:ascii="Arial" w:hAnsi="Arial" w:cs="Arial"/>
                <w:color w:val="010000"/>
                <w:sz w:val="20"/>
              </w:rPr>
              <w:t xml:space="preserve"> shares</w:t>
            </w:r>
          </w:p>
        </w:tc>
        <w:tc>
          <w:tcPr>
            <w:tcW w:w="1213" w:type="pct"/>
            <w:shd w:val="clear" w:color="auto" w:fill="auto"/>
            <w:tcMar>
              <w:top w:w="0" w:type="dxa"/>
              <w:bottom w:w="0" w:type="dxa"/>
            </w:tcMar>
            <w:vAlign w:val="center"/>
          </w:tcPr>
          <w:p w14:paraId="2341A31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Executed.</w:t>
            </w:r>
          </w:p>
        </w:tc>
        <w:tc>
          <w:tcPr>
            <w:tcW w:w="1357" w:type="pct"/>
            <w:shd w:val="clear" w:color="auto" w:fill="auto"/>
            <w:tcMar>
              <w:top w:w="0" w:type="dxa"/>
              <w:bottom w:w="0" w:type="dxa"/>
            </w:tcMar>
            <w:vAlign w:val="center"/>
          </w:tcPr>
          <w:p w14:paraId="281A290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100%</w:t>
            </w:r>
          </w:p>
        </w:tc>
      </w:tr>
    </w:tbl>
    <w:p w14:paraId="0CEBDEAB" w14:textId="14B09B5C"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Article 2: Approve the Report of the General </w:t>
      </w:r>
      <w:r w:rsidR="003C5246" w:rsidRPr="003C5246">
        <w:rPr>
          <w:rFonts w:ascii="Arial" w:hAnsi="Arial" w:cs="Arial"/>
          <w:color w:val="010000"/>
          <w:sz w:val="20"/>
        </w:rPr>
        <w:t>Manager</w:t>
      </w:r>
      <w:r w:rsidRPr="003C5246">
        <w:rPr>
          <w:rFonts w:ascii="Arial" w:hAnsi="Arial" w:cs="Arial"/>
          <w:color w:val="010000"/>
          <w:sz w:val="20"/>
        </w:rPr>
        <w:t xml:space="preserve"> of the Company summarizing production and business activities in 2023 and expected plan for 2024.</w:t>
      </w:r>
    </w:p>
    <w:p w14:paraId="4FC9F7A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Article 3: Approve the Report of the Supervisory Board on the result of inspecting and supervising activities of the Company in 2023.</w:t>
      </w:r>
    </w:p>
    <w:p w14:paraId="1BAFB9D9" w14:textId="772AEF9D"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lastRenderedPageBreak/>
        <w:t xml:space="preserve">Article 4: Approve the </w:t>
      </w:r>
      <w:r w:rsidR="003C5246" w:rsidRPr="003C5246">
        <w:rPr>
          <w:rFonts w:ascii="Arial" w:hAnsi="Arial" w:cs="Arial"/>
          <w:color w:val="010000"/>
          <w:sz w:val="20"/>
        </w:rPr>
        <w:t>Financial Statements</w:t>
      </w:r>
      <w:r w:rsidRPr="003C5246">
        <w:rPr>
          <w:rFonts w:ascii="Arial" w:hAnsi="Arial" w:cs="Arial"/>
          <w:color w:val="010000"/>
          <w:sz w:val="20"/>
        </w:rPr>
        <w:t xml:space="preserve"> of the Holding Company and Audited </w:t>
      </w:r>
      <w:r w:rsidR="003C5246" w:rsidRPr="003C5246">
        <w:rPr>
          <w:rFonts w:ascii="Arial" w:hAnsi="Arial" w:cs="Arial"/>
          <w:color w:val="010000"/>
          <w:sz w:val="20"/>
        </w:rPr>
        <w:t>Consolidated Financial Statements</w:t>
      </w:r>
      <w:r w:rsidRPr="003C5246">
        <w:rPr>
          <w:rFonts w:ascii="Arial" w:hAnsi="Arial" w:cs="Arial"/>
          <w:color w:val="010000"/>
          <w:sz w:val="20"/>
        </w:rPr>
        <w:t xml:space="preserve"> 2023.</w:t>
      </w:r>
    </w:p>
    <w:p w14:paraId="3F797E51" w14:textId="041A788B" w:rsidR="001C2E76" w:rsidRPr="003C5246" w:rsidRDefault="000C429C" w:rsidP="00FE6EE9">
      <w:pPr>
        <w:numPr>
          <w:ilvl w:val="0"/>
          <w:numId w:val="9"/>
        </w:numPr>
        <w:pBdr>
          <w:top w:val="nil"/>
          <w:left w:val="nil"/>
          <w:bottom w:val="nil"/>
          <w:right w:val="nil"/>
          <w:between w:val="nil"/>
        </w:pBdr>
        <w:tabs>
          <w:tab w:val="left" w:pos="320"/>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The </w:t>
      </w:r>
      <w:r w:rsidR="003C5246" w:rsidRPr="003C5246">
        <w:rPr>
          <w:rFonts w:ascii="Arial" w:hAnsi="Arial" w:cs="Arial"/>
          <w:color w:val="010000"/>
          <w:sz w:val="20"/>
        </w:rPr>
        <w:t>Financial Statements</w:t>
      </w:r>
      <w:r w:rsidRPr="003C5246">
        <w:rPr>
          <w:rFonts w:ascii="Arial" w:hAnsi="Arial" w:cs="Arial"/>
          <w:color w:val="010000"/>
          <w:sz w:val="20"/>
        </w:rPr>
        <w:t xml:space="preserve"> of the Holding Company:</w:t>
      </w:r>
    </w:p>
    <w:p w14:paraId="32EFC40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Unit: VND</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2"/>
        <w:gridCol w:w="6453"/>
        <w:gridCol w:w="2242"/>
      </w:tblGrid>
      <w:tr w:rsidR="00EC670A" w:rsidRPr="003C5246" w14:paraId="67704DF4" w14:textId="77777777" w:rsidTr="00FE6EE9">
        <w:tc>
          <w:tcPr>
            <w:tcW w:w="3757" w:type="pct"/>
            <w:gridSpan w:val="2"/>
            <w:shd w:val="clear" w:color="auto" w:fill="auto"/>
            <w:tcMar>
              <w:top w:w="0" w:type="dxa"/>
              <w:bottom w:w="0" w:type="dxa"/>
            </w:tcMar>
            <w:vAlign w:val="center"/>
          </w:tcPr>
          <w:p w14:paraId="333F9815" w14:textId="77777777" w:rsidR="00EC670A" w:rsidRPr="003C5246" w:rsidRDefault="00EC670A" w:rsidP="00FE6EE9">
            <w:pPr>
              <w:pBdr>
                <w:top w:val="nil"/>
                <w:left w:val="nil"/>
                <w:bottom w:val="nil"/>
                <w:right w:val="nil"/>
                <w:between w:val="nil"/>
              </w:pBdr>
              <w:spacing w:after="120" w:line="360" w:lineRule="auto"/>
              <w:jc w:val="center"/>
              <w:rPr>
                <w:rFonts w:ascii="Arial" w:eastAsia="Arial" w:hAnsi="Arial" w:cs="Arial"/>
                <w:color w:val="010000"/>
                <w:sz w:val="20"/>
                <w:szCs w:val="20"/>
              </w:rPr>
            </w:pPr>
            <w:r w:rsidRPr="003C5246">
              <w:rPr>
                <w:rFonts w:ascii="Arial" w:hAnsi="Arial" w:cs="Arial"/>
                <w:color w:val="010000"/>
                <w:sz w:val="20"/>
              </w:rPr>
              <w:t>Target</w:t>
            </w:r>
          </w:p>
        </w:tc>
        <w:tc>
          <w:tcPr>
            <w:tcW w:w="1243" w:type="pct"/>
            <w:shd w:val="clear" w:color="auto" w:fill="auto"/>
            <w:tcMar>
              <w:top w:w="0" w:type="dxa"/>
              <w:bottom w:w="0" w:type="dxa"/>
            </w:tcMar>
            <w:vAlign w:val="center"/>
          </w:tcPr>
          <w:p w14:paraId="29BA342C" w14:textId="77777777" w:rsidR="00EC670A" w:rsidRPr="003C5246" w:rsidRDefault="00EC670A" w:rsidP="00FE6EE9">
            <w:pPr>
              <w:pBdr>
                <w:top w:val="nil"/>
                <w:left w:val="nil"/>
                <w:bottom w:val="nil"/>
                <w:right w:val="nil"/>
                <w:between w:val="nil"/>
              </w:pBdr>
              <w:spacing w:after="120" w:line="360" w:lineRule="auto"/>
              <w:jc w:val="center"/>
              <w:rPr>
                <w:rFonts w:ascii="Arial" w:eastAsia="Arial" w:hAnsi="Arial" w:cs="Arial"/>
                <w:color w:val="010000"/>
                <w:sz w:val="20"/>
                <w:szCs w:val="20"/>
              </w:rPr>
            </w:pPr>
            <w:r w:rsidRPr="003C5246">
              <w:rPr>
                <w:rFonts w:ascii="Arial" w:hAnsi="Arial" w:cs="Arial"/>
                <w:color w:val="010000"/>
                <w:sz w:val="20"/>
              </w:rPr>
              <w:t>Amount</w:t>
            </w:r>
          </w:p>
        </w:tc>
      </w:tr>
      <w:tr w:rsidR="001C2E76" w:rsidRPr="003C5246" w14:paraId="7979EF36" w14:textId="77777777" w:rsidTr="00FE6EE9">
        <w:tc>
          <w:tcPr>
            <w:tcW w:w="179" w:type="pct"/>
            <w:shd w:val="clear" w:color="auto" w:fill="auto"/>
            <w:tcMar>
              <w:top w:w="0" w:type="dxa"/>
              <w:bottom w:w="0" w:type="dxa"/>
            </w:tcMar>
            <w:vAlign w:val="center"/>
          </w:tcPr>
          <w:p w14:paraId="5A6B7EE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w:t>
            </w:r>
          </w:p>
        </w:tc>
        <w:tc>
          <w:tcPr>
            <w:tcW w:w="3578" w:type="pct"/>
            <w:shd w:val="clear" w:color="auto" w:fill="auto"/>
            <w:tcMar>
              <w:top w:w="0" w:type="dxa"/>
              <w:bottom w:w="0" w:type="dxa"/>
            </w:tcMar>
            <w:vAlign w:val="center"/>
          </w:tcPr>
          <w:p w14:paraId="68F0480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assets</w:t>
            </w:r>
          </w:p>
        </w:tc>
        <w:tc>
          <w:tcPr>
            <w:tcW w:w="1243" w:type="pct"/>
            <w:shd w:val="clear" w:color="auto" w:fill="auto"/>
            <w:tcMar>
              <w:top w:w="0" w:type="dxa"/>
              <w:bottom w:w="0" w:type="dxa"/>
            </w:tcMar>
            <w:vAlign w:val="center"/>
          </w:tcPr>
          <w:p w14:paraId="6507DB6E"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3,402,209,101,106</w:t>
            </w:r>
          </w:p>
        </w:tc>
      </w:tr>
      <w:tr w:rsidR="001C2E76" w:rsidRPr="003C5246" w14:paraId="17A1EF3F" w14:textId="77777777" w:rsidTr="00FE6EE9">
        <w:tc>
          <w:tcPr>
            <w:tcW w:w="179" w:type="pct"/>
            <w:shd w:val="clear" w:color="auto" w:fill="auto"/>
            <w:tcMar>
              <w:top w:w="0" w:type="dxa"/>
              <w:bottom w:w="0" w:type="dxa"/>
            </w:tcMar>
            <w:vAlign w:val="center"/>
          </w:tcPr>
          <w:p w14:paraId="55DAEC2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w:t>
            </w:r>
          </w:p>
        </w:tc>
        <w:tc>
          <w:tcPr>
            <w:tcW w:w="3578" w:type="pct"/>
            <w:shd w:val="clear" w:color="auto" w:fill="auto"/>
            <w:tcMar>
              <w:top w:w="0" w:type="dxa"/>
              <w:bottom w:w="0" w:type="dxa"/>
            </w:tcMar>
            <w:vAlign w:val="center"/>
          </w:tcPr>
          <w:p w14:paraId="4AA309B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Payables</w:t>
            </w:r>
          </w:p>
        </w:tc>
        <w:tc>
          <w:tcPr>
            <w:tcW w:w="1243" w:type="pct"/>
            <w:shd w:val="clear" w:color="auto" w:fill="auto"/>
            <w:tcMar>
              <w:top w:w="0" w:type="dxa"/>
              <w:bottom w:w="0" w:type="dxa"/>
            </w:tcMar>
            <w:vAlign w:val="center"/>
          </w:tcPr>
          <w:p w14:paraId="6BB847A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2,499,469,568,726</w:t>
            </w:r>
          </w:p>
        </w:tc>
      </w:tr>
      <w:tr w:rsidR="001C2E76" w:rsidRPr="003C5246" w14:paraId="43D7779B" w14:textId="77777777" w:rsidTr="00FE6EE9">
        <w:tc>
          <w:tcPr>
            <w:tcW w:w="179" w:type="pct"/>
            <w:shd w:val="clear" w:color="auto" w:fill="auto"/>
            <w:tcMar>
              <w:top w:w="0" w:type="dxa"/>
              <w:bottom w:w="0" w:type="dxa"/>
            </w:tcMar>
            <w:vAlign w:val="center"/>
          </w:tcPr>
          <w:p w14:paraId="3A63F71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3</w:t>
            </w:r>
          </w:p>
        </w:tc>
        <w:tc>
          <w:tcPr>
            <w:tcW w:w="3578" w:type="pct"/>
            <w:shd w:val="clear" w:color="auto" w:fill="auto"/>
            <w:tcMar>
              <w:top w:w="0" w:type="dxa"/>
              <w:bottom w:w="0" w:type="dxa"/>
            </w:tcMar>
            <w:vAlign w:val="center"/>
          </w:tcPr>
          <w:p w14:paraId="2809FCFA"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Owners’ equity</w:t>
            </w:r>
          </w:p>
        </w:tc>
        <w:tc>
          <w:tcPr>
            <w:tcW w:w="1243" w:type="pct"/>
            <w:shd w:val="clear" w:color="auto" w:fill="auto"/>
            <w:tcMar>
              <w:top w:w="0" w:type="dxa"/>
              <w:bottom w:w="0" w:type="dxa"/>
            </w:tcMar>
            <w:vAlign w:val="center"/>
          </w:tcPr>
          <w:p w14:paraId="223AC65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902,739,532,380</w:t>
            </w:r>
          </w:p>
        </w:tc>
      </w:tr>
      <w:tr w:rsidR="001C2E76" w:rsidRPr="003C5246" w14:paraId="64BA776A" w14:textId="77777777" w:rsidTr="00FE6EE9">
        <w:tc>
          <w:tcPr>
            <w:tcW w:w="179" w:type="pct"/>
            <w:shd w:val="clear" w:color="auto" w:fill="auto"/>
            <w:tcMar>
              <w:top w:w="0" w:type="dxa"/>
              <w:bottom w:w="0" w:type="dxa"/>
            </w:tcMar>
            <w:vAlign w:val="center"/>
          </w:tcPr>
          <w:p w14:paraId="3C144F26" w14:textId="77777777" w:rsidR="001C2E76" w:rsidRPr="003C5246" w:rsidRDefault="001C2E76" w:rsidP="00FE6EE9">
            <w:pPr>
              <w:spacing w:after="120" w:line="360" w:lineRule="auto"/>
              <w:rPr>
                <w:rFonts w:ascii="Arial" w:eastAsia="Arial" w:hAnsi="Arial" w:cs="Arial"/>
                <w:color w:val="010000"/>
                <w:sz w:val="20"/>
                <w:szCs w:val="20"/>
              </w:rPr>
            </w:pPr>
          </w:p>
        </w:tc>
        <w:tc>
          <w:tcPr>
            <w:tcW w:w="3578" w:type="pct"/>
            <w:shd w:val="clear" w:color="auto" w:fill="auto"/>
            <w:tcMar>
              <w:top w:w="0" w:type="dxa"/>
              <w:bottom w:w="0" w:type="dxa"/>
            </w:tcMar>
            <w:vAlign w:val="center"/>
          </w:tcPr>
          <w:p w14:paraId="722D3679"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In which:</w:t>
            </w:r>
          </w:p>
        </w:tc>
        <w:tc>
          <w:tcPr>
            <w:tcW w:w="1243" w:type="pct"/>
            <w:shd w:val="clear" w:color="auto" w:fill="auto"/>
            <w:tcMar>
              <w:top w:w="0" w:type="dxa"/>
              <w:bottom w:w="0" w:type="dxa"/>
            </w:tcMar>
            <w:vAlign w:val="center"/>
          </w:tcPr>
          <w:p w14:paraId="4B8FBFB6" w14:textId="77777777" w:rsidR="001C2E76" w:rsidRPr="003C5246" w:rsidRDefault="001C2E76" w:rsidP="00FE6EE9">
            <w:pPr>
              <w:spacing w:after="120" w:line="360" w:lineRule="auto"/>
              <w:rPr>
                <w:rFonts w:ascii="Arial" w:eastAsia="Arial" w:hAnsi="Arial" w:cs="Arial"/>
                <w:color w:val="010000"/>
                <w:sz w:val="20"/>
                <w:szCs w:val="20"/>
              </w:rPr>
            </w:pPr>
          </w:p>
        </w:tc>
      </w:tr>
      <w:tr w:rsidR="001C2E76" w:rsidRPr="003C5246" w14:paraId="3BA83CE5" w14:textId="77777777" w:rsidTr="00FE6EE9">
        <w:tc>
          <w:tcPr>
            <w:tcW w:w="179" w:type="pct"/>
            <w:shd w:val="clear" w:color="auto" w:fill="auto"/>
            <w:tcMar>
              <w:top w:w="0" w:type="dxa"/>
              <w:bottom w:w="0" w:type="dxa"/>
            </w:tcMar>
            <w:vAlign w:val="center"/>
          </w:tcPr>
          <w:p w14:paraId="60841697" w14:textId="77777777" w:rsidR="001C2E76" w:rsidRPr="003C5246" w:rsidRDefault="001C2E76" w:rsidP="00FE6EE9">
            <w:pPr>
              <w:spacing w:after="120" w:line="360" w:lineRule="auto"/>
              <w:rPr>
                <w:rFonts w:ascii="Arial" w:eastAsia="Arial" w:hAnsi="Arial" w:cs="Arial"/>
                <w:color w:val="010000"/>
                <w:sz w:val="20"/>
                <w:szCs w:val="20"/>
              </w:rPr>
            </w:pPr>
          </w:p>
        </w:tc>
        <w:tc>
          <w:tcPr>
            <w:tcW w:w="3578" w:type="pct"/>
            <w:shd w:val="clear" w:color="auto" w:fill="auto"/>
            <w:tcMar>
              <w:top w:w="0" w:type="dxa"/>
              <w:bottom w:w="0" w:type="dxa"/>
            </w:tcMar>
            <w:vAlign w:val="center"/>
          </w:tcPr>
          <w:p w14:paraId="46638D13" w14:textId="77777777" w:rsidR="001C2E76" w:rsidRPr="003C5246" w:rsidRDefault="000C429C" w:rsidP="00FE6EE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Capital contributed by owners:</w:t>
            </w:r>
          </w:p>
        </w:tc>
        <w:tc>
          <w:tcPr>
            <w:tcW w:w="1243" w:type="pct"/>
            <w:shd w:val="clear" w:color="auto" w:fill="auto"/>
            <w:tcMar>
              <w:top w:w="0" w:type="dxa"/>
              <w:bottom w:w="0" w:type="dxa"/>
            </w:tcMar>
            <w:vAlign w:val="center"/>
          </w:tcPr>
          <w:p w14:paraId="7427F328" w14:textId="77777777" w:rsidR="001C2E76" w:rsidRPr="003C5246" w:rsidRDefault="000C429C" w:rsidP="00FE6EE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673,643,390,000</w:t>
            </w:r>
          </w:p>
        </w:tc>
      </w:tr>
      <w:tr w:rsidR="001C2E76" w:rsidRPr="003C5246" w14:paraId="336CEBD8" w14:textId="77777777" w:rsidTr="00FE6EE9">
        <w:tc>
          <w:tcPr>
            <w:tcW w:w="179" w:type="pct"/>
            <w:shd w:val="clear" w:color="auto" w:fill="auto"/>
            <w:tcMar>
              <w:top w:w="0" w:type="dxa"/>
              <w:bottom w:w="0" w:type="dxa"/>
            </w:tcMar>
            <w:vAlign w:val="center"/>
          </w:tcPr>
          <w:p w14:paraId="4034DE4E" w14:textId="77777777" w:rsidR="001C2E76" w:rsidRPr="003C5246" w:rsidRDefault="001C2E76" w:rsidP="00FE6EE9">
            <w:pPr>
              <w:tabs>
                <w:tab w:val="left" w:pos="432"/>
              </w:tabs>
              <w:spacing w:after="120" w:line="360" w:lineRule="auto"/>
              <w:rPr>
                <w:rFonts w:ascii="Arial" w:eastAsia="Arial" w:hAnsi="Arial" w:cs="Arial"/>
                <w:color w:val="010000"/>
                <w:sz w:val="20"/>
                <w:szCs w:val="20"/>
              </w:rPr>
            </w:pPr>
          </w:p>
        </w:tc>
        <w:tc>
          <w:tcPr>
            <w:tcW w:w="3578" w:type="pct"/>
            <w:shd w:val="clear" w:color="auto" w:fill="auto"/>
            <w:tcMar>
              <w:top w:w="0" w:type="dxa"/>
              <w:bottom w:w="0" w:type="dxa"/>
            </w:tcMar>
            <w:vAlign w:val="center"/>
          </w:tcPr>
          <w:p w14:paraId="47412A41" w14:textId="77777777" w:rsidR="001C2E76" w:rsidRPr="003C5246" w:rsidRDefault="000C429C" w:rsidP="00FE6EE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Surplus equity</w:t>
            </w:r>
          </w:p>
        </w:tc>
        <w:tc>
          <w:tcPr>
            <w:tcW w:w="1243" w:type="pct"/>
            <w:shd w:val="clear" w:color="auto" w:fill="auto"/>
            <w:tcMar>
              <w:top w:w="0" w:type="dxa"/>
              <w:bottom w:w="0" w:type="dxa"/>
            </w:tcMar>
            <w:vAlign w:val="center"/>
          </w:tcPr>
          <w:p w14:paraId="29FEEA3D" w14:textId="77777777" w:rsidR="001C2E76" w:rsidRPr="003C5246" w:rsidRDefault="000C429C" w:rsidP="00FE6EE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0</w:t>
            </w:r>
          </w:p>
        </w:tc>
      </w:tr>
      <w:tr w:rsidR="001C2E76" w:rsidRPr="003C5246" w14:paraId="004F0071" w14:textId="77777777" w:rsidTr="00FE6EE9">
        <w:tc>
          <w:tcPr>
            <w:tcW w:w="179" w:type="pct"/>
            <w:shd w:val="clear" w:color="auto" w:fill="auto"/>
            <w:tcMar>
              <w:top w:w="0" w:type="dxa"/>
              <w:bottom w:w="0" w:type="dxa"/>
            </w:tcMar>
            <w:vAlign w:val="center"/>
          </w:tcPr>
          <w:p w14:paraId="74A09475" w14:textId="77777777" w:rsidR="001C2E76" w:rsidRPr="003C5246" w:rsidRDefault="001C2E76" w:rsidP="00FE6EE9">
            <w:pPr>
              <w:tabs>
                <w:tab w:val="left" w:pos="432"/>
              </w:tabs>
              <w:spacing w:after="120" w:line="360" w:lineRule="auto"/>
              <w:rPr>
                <w:rFonts w:ascii="Arial" w:eastAsia="Arial" w:hAnsi="Arial" w:cs="Arial"/>
                <w:color w:val="010000"/>
                <w:sz w:val="20"/>
                <w:szCs w:val="20"/>
              </w:rPr>
            </w:pPr>
          </w:p>
        </w:tc>
        <w:tc>
          <w:tcPr>
            <w:tcW w:w="3578" w:type="pct"/>
            <w:shd w:val="clear" w:color="auto" w:fill="auto"/>
            <w:tcMar>
              <w:top w:w="0" w:type="dxa"/>
              <w:bottom w:w="0" w:type="dxa"/>
            </w:tcMar>
            <w:vAlign w:val="center"/>
          </w:tcPr>
          <w:p w14:paraId="4F6C4849" w14:textId="77777777" w:rsidR="001C2E76" w:rsidRPr="003C5246" w:rsidRDefault="000C429C" w:rsidP="00FE6EE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Treasury shares</w:t>
            </w:r>
          </w:p>
        </w:tc>
        <w:tc>
          <w:tcPr>
            <w:tcW w:w="1243" w:type="pct"/>
            <w:shd w:val="clear" w:color="auto" w:fill="auto"/>
            <w:tcMar>
              <w:top w:w="0" w:type="dxa"/>
              <w:bottom w:w="0" w:type="dxa"/>
            </w:tcMar>
            <w:vAlign w:val="center"/>
          </w:tcPr>
          <w:p w14:paraId="081DF50F" w14:textId="77777777" w:rsidR="001C2E76" w:rsidRPr="003C5246" w:rsidRDefault="000C429C" w:rsidP="00FE6EE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(30,845,085)</w:t>
            </w:r>
          </w:p>
        </w:tc>
      </w:tr>
      <w:tr w:rsidR="001C2E76" w:rsidRPr="003C5246" w14:paraId="2622340E" w14:textId="77777777" w:rsidTr="00FE6EE9">
        <w:tc>
          <w:tcPr>
            <w:tcW w:w="179" w:type="pct"/>
            <w:shd w:val="clear" w:color="auto" w:fill="auto"/>
            <w:tcMar>
              <w:top w:w="0" w:type="dxa"/>
              <w:bottom w:w="0" w:type="dxa"/>
            </w:tcMar>
            <w:vAlign w:val="center"/>
          </w:tcPr>
          <w:p w14:paraId="71D0A72B" w14:textId="77777777" w:rsidR="001C2E76" w:rsidRPr="003C5246" w:rsidRDefault="001C2E76" w:rsidP="00FE6EE9">
            <w:pPr>
              <w:tabs>
                <w:tab w:val="left" w:pos="432"/>
              </w:tabs>
              <w:spacing w:after="120" w:line="360" w:lineRule="auto"/>
              <w:rPr>
                <w:rFonts w:ascii="Arial" w:eastAsia="Arial" w:hAnsi="Arial" w:cs="Arial"/>
                <w:color w:val="010000"/>
                <w:sz w:val="20"/>
                <w:szCs w:val="20"/>
              </w:rPr>
            </w:pPr>
          </w:p>
        </w:tc>
        <w:tc>
          <w:tcPr>
            <w:tcW w:w="3578" w:type="pct"/>
            <w:shd w:val="clear" w:color="auto" w:fill="auto"/>
            <w:tcMar>
              <w:top w:w="0" w:type="dxa"/>
              <w:bottom w:w="0" w:type="dxa"/>
            </w:tcMar>
            <w:vAlign w:val="center"/>
          </w:tcPr>
          <w:p w14:paraId="6CAA1EB2" w14:textId="77777777" w:rsidR="001C2E76" w:rsidRPr="003C5246" w:rsidRDefault="000C429C" w:rsidP="00FE6EE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Other funds from owner’s equity</w:t>
            </w:r>
          </w:p>
        </w:tc>
        <w:tc>
          <w:tcPr>
            <w:tcW w:w="1243" w:type="pct"/>
            <w:shd w:val="clear" w:color="auto" w:fill="auto"/>
            <w:tcMar>
              <w:top w:w="0" w:type="dxa"/>
              <w:bottom w:w="0" w:type="dxa"/>
            </w:tcMar>
            <w:vAlign w:val="center"/>
          </w:tcPr>
          <w:p w14:paraId="5568877A" w14:textId="77777777" w:rsidR="001C2E76" w:rsidRPr="003C5246" w:rsidRDefault="000C429C" w:rsidP="00FE6EE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0</w:t>
            </w:r>
          </w:p>
        </w:tc>
      </w:tr>
      <w:tr w:rsidR="001C2E76" w:rsidRPr="003C5246" w14:paraId="75D4121D" w14:textId="77777777" w:rsidTr="00FE6EE9">
        <w:tc>
          <w:tcPr>
            <w:tcW w:w="179" w:type="pct"/>
            <w:shd w:val="clear" w:color="auto" w:fill="auto"/>
            <w:tcMar>
              <w:top w:w="0" w:type="dxa"/>
              <w:bottom w:w="0" w:type="dxa"/>
            </w:tcMar>
            <w:vAlign w:val="center"/>
          </w:tcPr>
          <w:p w14:paraId="0933C3AC" w14:textId="77777777" w:rsidR="001C2E76" w:rsidRPr="003C5246" w:rsidRDefault="001C2E76" w:rsidP="00FE6EE9">
            <w:pPr>
              <w:tabs>
                <w:tab w:val="left" w:pos="432"/>
              </w:tabs>
              <w:spacing w:after="120" w:line="360" w:lineRule="auto"/>
              <w:rPr>
                <w:rFonts w:ascii="Arial" w:eastAsia="Arial" w:hAnsi="Arial" w:cs="Arial"/>
                <w:color w:val="010000"/>
                <w:sz w:val="20"/>
                <w:szCs w:val="20"/>
              </w:rPr>
            </w:pPr>
          </w:p>
        </w:tc>
        <w:tc>
          <w:tcPr>
            <w:tcW w:w="3578" w:type="pct"/>
            <w:shd w:val="clear" w:color="auto" w:fill="auto"/>
            <w:tcMar>
              <w:top w:w="0" w:type="dxa"/>
              <w:bottom w:w="0" w:type="dxa"/>
            </w:tcMar>
            <w:vAlign w:val="center"/>
          </w:tcPr>
          <w:p w14:paraId="21E65502" w14:textId="77777777" w:rsidR="001C2E76" w:rsidRPr="003C5246" w:rsidRDefault="000C429C" w:rsidP="00FE6EE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Undistributed profit after tax</w:t>
            </w:r>
          </w:p>
        </w:tc>
        <w:tc>
          <w:tcPr>
            <w:tcW w:w="1243" w:type="pct"/>
            <w:shd w:val="clear" w:color="auto" w:fill="auto"/>
            <w:tcMar>
              <w:top w:w="0" w:type="dxa"/>
              <w:bottom w:w="0" w:type="dxa"/>
            </w:tcMar>
            <w:vAlign w:val="center"/>
          </w:tcPr>
          <w:p w14:paraId="1C57F80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229,126,987,465</w:t>
            </w:r>
          </w:p>
        </w:tc>
      </w:tr>
      <w:tr w:rsidR="00A73C7D" w:rsidRPr="003C5246" w14:paraId="71B7D5D6" w14:textId="77777777" w:rsidTr="00FE6EE9">
        <w:tc>
          <w:tcPr>
            <w:tcW w:w="179" w:type="pct"/>
            <w:shd w:val="clear" w:color="auto" w:fill="auto"/>
            <w:tcMar>
              <w:top w:w="0" w:type="dxa"/>
              <w:bottom w:w="0" w:type="dxa"/>
            </w:tcMar>
            <w:vAlign w:val="center"/>
          </w:tcPr>
          <w:p w14:paraId="63C7EB5A"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4</w:t>
            </w:r>
          </w:p>
        </w:tc>
        <w:tc>
          <w:tcPr>
            <w:tcW w:w="3578" w:type="pct"/>
            <w:shd w:val="clear" w:color="auto" w:fill="auto"/>
            <w:tcMar>
              <w:top w:w="0" w:type="dxa"/>
              <w:bottom w:w="0" w:type="dxa"/>
            </w:tcMar>
            <w:vAlign w:val="center"/>
          </w:tcPr>
          <w:p w14:paraId="079CCF9D"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revenue</w:t>
            </w:r>
          </w:p>
          <w:p w14:paraId="25D56D70"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net revenue from sales and provision of services + revenue from financial activities + Other income)</w:t>
            </w:r>
          </w:p>
        </w:tc>
        <w:tc>
          <w:tcPr>
            <w:tcW w:w="1243" w:type="pct"/>
            <w:shd w:val="clear" w:color="auto" w:fill="auto"/>
            <w:tcMar>
              <w:top w:w="0" w:type="dxa"/>
              <w:bottom w:w="0" w:type="dxa"/>
            </w:tcMar>
            <w:vAlign w:val="center"/>
          </w:tcPr>
          <w:p w14:paraId="07D42C65"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2,188,692,844,264</w:t>
            </w:r>
          </w:p>
        </w:tc>
      </w:tr>
      <w:tr w:rsidR="00A73C7D" w:rsidRPr="003C5246" w14:paraId="45FA396E" w14:textId="77777777" w:rsidTr="00FE6EE9">
        <w:tc>
          <w:tcPr>
            <w:tcW w:w="179" w:type="pct"/>
            <w:shd w:val="clear" w:color="auto" w:fill="auto"/>
            <w:tcMar>
              <w:top w:w="0" w:type="dxa"/>
              <w:bottom w:w="0" w:type="dxa"/>
            </w:tcMar>
            <w:vAlign w:val="center"/>
          </w:tcPr>
          <w:p w14:paraId="349366F5"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5</w:t>
            </w:r>
          </w:p>
        </w:tc>
        <w:tc>
          <w:tcPr>
            <w:tcW w:w="3578" w:type="pct"/>
            <w:shd w:val="clear" w:color="auto" w:fill="auto"/>
            <w:tcMar>
              <w:top w:w="0" w:type="dxa"/>
              <w:bottom w:w="0" w:type="dxa"/>
            </w:tcMar>
            <w:vAlign w:val="center"/>
          </w:tcPr>
          <w:p w14:paraId="15E1945B"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expenses</w:t>
            </w:r>
          </w:p>
          <w:p w14:paraId="0A052840"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Cost of goods sold + Finance expenses + Business management expenses + Sales expenses + Other expenses)</w:t>
            </w:r>
          </w:p>
        </w:tc>
        <w:tc>
          <w:tcPr>
            <w:tcW w:w="1243" w:type="pct"/>
            <w:shd w:val="clear" w:color="auto" w:fill="auto"/>
            <w:tcMar>
              <w:top w:w="0" w:type="dxa"/>
              <w:bottom w:w="0" w:type="dxa"/>
            </w:tcMar>
            <w:vAlign w:val="center"/>
          </w:tcPr>
          <w:p w14:paraId="02E5D3C7"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2,116,403,651,025</w:t>
            </w:r>
          </w:p>
        </w:tc>
      </w:tr>
      <w:tr w:rsidR="00A73C7D" w:rsidRPr="003C5246" w14:paraId="7B554852" w14:textId="77777777" w:rsidTr="00FE6EE9">
        <w:tc>
          <w:tcPr>
            <w:tcW w:w="179" w:type="pct"/>
            <w:shd w:val="clear" w:color="auto" w:fill="auto"/>
            <w:tcMar>
              <w:top w:w="0" w:type="dxa"/>
              <w:bottom w:w="0" w:type="dxa"/>
            </w:tcMar>
            <w:vAlign w:val="center"/>
          </w:tcPr>
          <w:p w14:paraId="2B7A1D63"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6</w:t>
            </w:r>
          </w:p>
        </w:tc>
        <w:tc>
          <w:tcPr>
            <w:tcW w:w="3578" w:type="pct"/>
            <w:shd w:val="clear" w:color="auto" w:fill="auto"/>
            <w:tcMar>
              <w:top w:w="0" w:type="dxa"/>
              <w:bottom w:w="0" w:type="dxa"/>
            </w:tcMar>
            <w:vAlign w:val="center"/>
          </w:tcPr>
          <w:p w14:paraId="06C62314"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before tax in 2023</w:t>
            </w:r>
          </w:p>
        </w:tc>
        <w:tc>
          <w:tcPr>
            <w:tcW w:w="1243" w:type="pct"/>
            <w:shd w:val="clear" w:color="auto" w:fill="auto"/>
            <w:tcMar>
              <w:top w:w="0" w:type="dxa"/>
              <w:bottom w:w="0" w:type="dxa"/>
            </w:tcMar>
            <w:vAlign w:val="center"/>
          </w:tcPr>
          <w:p w14:paraId="7A3C6E02"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72,289,193,239</w:t>
            </w:r>
          </w:p>
        </w:tc>
      </w:tr>
      <w:tr w:rsidR="00A73C7D" w:rsidRPr="003C5246" w14:paraId="126D01AB" w14:textId="77777777" w:rsidTr="00FE6EE9">
        <w:tc>
          <w:tcPr>
            <w:tcW w:w="179" w:type="pct"/>
            <w:shd w:val="clear" w:color="auto" w:fill="auto"/>
            <w:tcMar>
              <w:top w:w="0" w:type="dxa"/>
              <w:bottom w:w="0" w:type="dxa"/>
            </w:tcMar>
            <w:vAlign w:val="center"/>
          </w:tcPr>
          <w:p w14:paraId="11C46CE6"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w:t>
            </w:r>
          </w:p>
        </w:tc>
        <w:tc>
          <w:tcPr>
            <w:tcW w:w="3578" w:type="pct"/>
            <w:shd w:val="clear" w:color="auto" w:fill="auto"/>
            <w:tcMar>
              <w:top w:w="0" w:type="dxa"/>
              <w:bottom w:w="0" w:type="dxa"/>
            </w:tcMar>
            <w:vAlign w:val="center"/>
          </w:tcPr>
          <w:p w14:paraId="379277D1"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after tax in 2023</w:t>
            </w:r>
          </w:p>
        </w:tc>
        <w:tc>
          <w:tcPr>
            <w:tcW w:w="1243" w:type="pct"/>
            <w:shd w:val="clear" w:color="auto" w:fill="auto"/>
            <w:tcMar>
              <w:top w:w="0" w:type="dxa"/>
              <w:bottom w:w="0" w:type="dxa"/>
            </w:tcMar>
            <w:vAlign w:val="center"/>
          </w:tcPr>
          <w:p w14:paraId="090B529D" w14:textId="77777777" w:rsidR="00A73C7D" w:rsidRPr="003C5246" w:rsidRDefault="00A73C7D"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50,401,726,974</w:t>
            </w:r>
          </w:p>
        </w:tc>
      </w:tr>
    </w:tbl>
    <w:p w14:paraId="580B16E2" w14:textId="74D32741" w:rsidR="001C2E76" w:rsidRPr="003C5246" w:rsidRDefault="003C5246" w:rsidP="00FE6EE9">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Consolidated Financial Statements</w:t>
      </w:r>
      <w:r w:rsidR="000C429C" w:rsidRPr="003C5246">
        <w:rPr>
          <w:rFonts w:ascii="Arial" w:hAnsi="Arial" w:cs="Arial"/>
          <w:color w:val="010000"/>
          <w:sz w:val="20"/>
        </w:rPr>
        <w:t>:</w:t>
      </w:r>
    </w:p>
    <w:p w14:paraId="3C79C28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Unit: VND</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9"/>
        <w:gridCol w:w="6517"/>
        <w:gridCol w:w="2191"/>
      </w:tblGrid>
      <w:tr w:rsidR="001C2E76" w:rsidRPr="003C5246" w14:paraId="20132572" w14:textId="77777777" w:rsidTr="00FE6EE9">
        <w:tc>
          <w:tcPr>
            <w:tcW w:w="171" w:type="pct"/>
            <w:shd w:val="clear" w:color="auto" w:fill="auto"/>
            <w:tcMar>
              <w:top w:w="0" w:type="dxa"/>
              <w:bottom w:w="0" w:type="dxa"/>
            </w:tcMar>
            <w:vAlign w:val="center"/>
          </w:tcPr>
          <w:p w14:paraId="26289A7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1</w:t>
            </w:r>
          </w:p>
        </w:tc>
        <w:tc>
          <w:tcPr>
            <w:tcW w:w="3614" w:type="pct"/>
            <w:shd w:val="clear" w:color="auto" w:fill="auto"/>
            <w:tcMar>
              <w:top w:w="0" w:type="dxa"/>
              <w:bottom w:w="0" w:type="dxa"/>
            </w:tcMar>
            <w:vAlign w:val="center"/>
          </w:tcPr>
          <w:p w14:paraId="7EBBD1B9"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assets</w:t>
            </w:r>
          </w:p>
        </w:tc>
        <w:tc>
          <w:tcPr>
            <w:tcW w:w="1215" w:type="pct"/>
            <w:shd w:val="clear" w:color="auto" w:fill="auto"/>
            <w:tcMar>
              <w:top w:w="0" w:type="dxa"/>
              <w:bottom w:w="0" w:type="dxa"/>
            </w:tcMar>
            <w:vAlign w:val="center"/>
          </w:tcPr>
          <w:p w14:paraId="0669B36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3,583,844,137,524</w:t>
            </w:r>
          </w:p>
        </w:tc>
      </w:tr>
      <w:tr w:rsidR="001C2E76" w:rsidRPr="003C5246" w14:paraId="14D95707" w14:textId="77777777" w:rsidTr="00FE6EE9">
        <w:tc>
          <w:tcPr>
            <w:tcW w:w="171" w:type="pct"/>
            <w:shd w:val="clear" w:color="auto" w:fill="auto"/>
            <w:tcMar>
              <w:top w:w="0" w:type="dxa"/>
              <w:bottom w:w="0" w:type="dxa"/>
            </w:tcMar>
            <w:vAlign w:val="center"/>
          </w:tcPr>
          <w:p w14:paraId="1990496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w:t>
            </w:r>
          </w:p>
        </w:tc>
        <w:tc>
          <w:tcPr>
            <w:tcW w:w="3614" w:type="pct"/>
            <w:shd w:val="clear" w:color="auto" w:fill="auto"/>
            <w:tcMar>
              <w:top w:w="0" w:type="dxa"/>
              <w:bottom w:w="0" w:type="dxa"/>
            </w:tcMar>
            <w:vAlign w:val="center"/>
          </w:tcPr>
          <w:p w14:paraId="4F5CB6B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Payables</w:t>
            </w:r>
          </w:p>
        </w:tc>
        <w:tc>
          <w:tcPr>
            <w:tcW w:w="1215" w:type="pct"/>
            <w:shd w:val="clear" w:color="auto" w:fill="auto"/>
            <w:tcMar>
              <w:top w:w="0" w:type="dxa"/>
              <w:bottom w:w="0" w:type="dxa"/>
            </w:tcMar>
            <w:vAlign w:val="center"/>
          </w:tcPr>
          <w:p w14:paraId="32DAF442"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2,650,646,869,762</w:t>
            </w:r>
          </w:p>
        </w:tc>
      </w:tr>
      <w:tr w:rsidR="001C2E76" w:rsidRPr="003C5246" w14:paraId="1C51FC11" w14:textId="77777777" w:rsidTr="00FE6EE9">
        <w:tc>
          <w:tcPr>
            <w:tcW w:w="171" w:type="pct"/>
            <w:shd w:val="clear" w:color="auto" w:fill="auto"/>
            <w:tcMar>
              <w:top w:w="0" w:type="dxa"/>
              <w:bottom w:w="0" w:type="dxa"/>
            </w:tcMar>
            <w:vAlign w:val="center"/>
          </w:tcPr>
          <w:p w14:paraId="70EC733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3</w:t>
            </w:r>
          </w:p>
        </w:tc>
        <w:tc>
          <w:tcPr>
            <w:tcW w:w="3614" w:type="pct"/>
            <w:shd w:val="clear" w:color="auto" w:fill="auto"/>
            <w:tcMar>
              <w:top w:w="0" w:type="dxa"/>
              <w:bottom w:w="0" w:type="dxa"/>
            </w:tcMar>
            <w:vAlign w:val="center"/>
          </w:tcPr>
          <w:p w14:paraId="3A0D16B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Owners’ equity</w:t>
            </w:r>
          </w:p>
        </w:tc>
        <w:tc>
          <w:tcPr>
            <w:tcW w:w="1215" w:type="pct"/>
            <w:shd w:val="clear" w:color="auto" w:fill="auto"/>
            <w:tcMar>
              <w:top w:w="0" w:type="dxa"/>
              <w:bottom w:w="0" w:type="dxa"/>
            </w:tcMar>
            <w:vAlign w:val="center"/>
          </w:tcPr>
          <w:p w14:paraId="232D4F9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933,197,267,762</w:t>
            </w:r>
          </w:p>
        </w:tc>
      </w:tr>
      <w:tr w:rsidR="001C2E76" w:rsidRPr="003C5246" w14:paraId="5A271AE6" w14:textId="77777777" w:rsidTr="00FE6EE9">
        <w:tc>
          <w:tcPr>
            <w:tcW w:w="171" w:type="pct"/>
            <w:shd w:val="clear" w:color="auto" w:fill="auto"/>
            <w:tcMar>
              <w:top w:w="0" w:type="dxa"/>
              <w:bottom w:w="0" w:type="dxa"/>
            </w:tcMar>
            <w:vAlign w:val="center"/>
          </w:tcPr>
          <w:p w14:paraId="103FC6DC" w14:textId="77777777" w:rsidR="001C2E76" w:rsidRPr="003C5246" w:rsidRDefault="001C2E76" w:rsidP="00FE6EE9">
            <w:pPr>
              <w:spacing w:after="120" w:line="360" w:lineRule="auto"/>
              <w:rPr>
                <w:rFonts w:ascii="Arial" w:eastAsia="Arial" w:hAnsi="Arial" w:cs="Arial"/>
                <w:color w:val="010000"/>
                <w:sz w:val="20"/>
                <w:szCs w:val="20"/>
              </w:rPr>
            </w:pPr>
          </w:p>
        </w:tc>
        <w:tc>
          <w:tcPr>
            <w:tcW w:w="3614" w:type="pct"/>
            <w:shd w:val="clear" w:color="auto" w:fill="auto"/>
            <w:tcMar>
              <w:top w:w="0" w:type="dxa"/>
              <w:bottom w:w="0" w:type="dxa"/>
            </w:tcMar>
            <w:vAlign w:val="center"/>
          </w:tcPr>
          <w:p w14:paraId="79BC9F9D"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In which:</w:t>
            </w:r>
          </w:p>
          <w:p w14:paraId="544444FE" w14:textId="77777777" w:rsidR="001C2E76" w:rsidRPr="003C5246" w:rsidRDefault="000C429C" w:rsidP="00FE6EE9">
            <w:pPr>
              <w:numPr>
                <w:ilvl w:val="0"/>
                <w:numId w:val="8"/>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Capital contributed by owners: </w:t>
            </w:r>
            <w:r w:rsidRPr="003C5246">
              <w:rPr>
                <w:rFonts w:ascii="Arial" w:hAnsi="Arial" w:cs="Arial"/>
                <w:color w:val="010000"/>
                <w:sz w:val="20"/>
              </w:rPr>
              <w:tab/>
            </w:r>
            <w:r w:rsidRPr="003C5246">
              <w:rPr>
                <w:rFonts w:ascii="Arial" w:hAnsi="Arial" w:cs="Arial"/>
                <w:color w:val="010000"/>
                <w:sz w:val="20"/>
              </w:rPr>
              <w:tab/>
              <w:t>673,643,390,000</w:t>
            </w:r>
          </w:p>
          <w:p w14:paraId="5A17A0F5" w14:textId="77777777" w:rsidR="001C2E76" w:rsidRPr="003C5246" w:rsidRDefault="000C429C" w:rsidP="00FE6EE9">
            <w:pPr>
              <w:numPr>
                <w:ilvl w:val="0"/>
                <w:numId w:val="8"/>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Surplus equity: </w:t>
            </w:r>
            <w:r w:rsidRPr="003C5246">
              <w:rPr>
                <w:rFonts w:ascii="Arial" w:hAnsi="Arial" w:cs="Arial"/>
                <w:color w:val="010000"/>
                <w:sz w:val="20"/>
              </w:rPr>
              <w:tab/>
              <w:t>0</w:t>
            </w:r>
          </w:p>
          <w:p w14:paraId="5786CB4B" w14:textId="1058A1DB" w:rsidR="001C2E76" w:rsidRPr="003C5246" w:rsidRDefault="000C429C" w:rsidP="00FE6EE9">
            <w:pPr>
              <w:numPr>
                <w:ilvl w:val="0"/>
                <w:numId w:val="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lastRenderedPageBreak/>
              <w:t>Treasury shares: (30,845,085)</w:t>
            </w:r>
          </w:p>
          <w:p w14:paraId="6931D27D" w14:textId="13FDF2CF" w:rsidR="001C2E76" w:rsidRPr="003C5246" w:rsidRDefault="000C429C" w:rsidP="00FE6EE9">
            <w:pPr>
              <w:numPr>
                <w:ilvl w:val="0"/>
                <w:numId w:val="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Investment and development fund: 6,631,748,703</w:t>
            </w:r>
          </w:p>
          <w:p w14:paraId="3764E1DF" w14:textId="5D6F5ADF" w:rsidR="001C2E76" w:rsidRPr="003C5246" w:rsidRDefault="000C429C" w:rsidP="00FE6EE9">
            <w:pPr>
              <w:numPr>
                <w:ilvl w:val="0"/>
                <w:numId w:val="8"/>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Other funds from owner’s equity: 0</w:t>
            </w:r>
          </w:p>
          <w:p w14:paraId="343A0765" w14:textId="1FB42800" w:rsidR="001C2E76" w:rsidRPr="003C5246" w:rsidRDefault="000C429C" w:rsidP="00FE6EE9">
            <w:pPr>
              <w:numPr>
                <w:ilvl w:val="0"/>
                <w:numId w:val="8"/>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Undistributed profit after tax: 232,123,558,230</w:t>
            </w:r>
          </w:p>
          <w:p w14:paraId="313A904C" w14:textId="3345F9F1" w:rsidR="001C2E76" w:rsidRPr="003C5246" w:rsidRDefault="000C429C" w:rsidP="00FE6EE9">
            <w:pPr>
              <w:numPr>
                <w:ilvl w:val="0"/>
                <w:numId w:val="8"/>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Interests of non-controlling shareholders: 20,829,415,914</w:t>
            </w:r>
          </w:p>
        </w:tc>
        <w:tc>
          <w:tcPr>
            <w:tcW w:w="1215" w:type="pct"/>
            <w:shd w:val="clear" w:color="auto" w:fill="auto"/>
            <w:tcMar>
              <w:top w:w="0" w:type="dxa"/>
              <w:bottom w:w="0" w:type="dxa"/>
            </w:tcMar>
            <w:vAlign w:val="center"/>
          </w:tcPr>
          <w:p w14:paraId="1D2CC8FC" w14:textId="7EEA0C3B" w:rsidR="001C2E76" w:rsidRPr="003C5246" w:rsidRDefault="001C2E76" w:rsidP="00FE6EE9">
            <w:pPr>
              <w:pBdr>
                <w:top w:val="nil"/>
                <w:left w:val="nil"/>
                <w:bottom w:val="nil"/>
                <w:right w:val="nil"/>
                <w:between w:val="nil"/>
              </w:pBdr>
              <w:spacing w:after="120" w:line="360" w:lineRule="auto"/>
              <w:rPr>
                <w:rFonts w:ascii="Arial" w:eastAsia="Arial" w:hAnsi="Arial" w:cs="Arial"/>
                <w:color w:val="010000"/>
                <w:sz w:val="20"/>
                <w:szCs w:val="20"/>
              </w:rPr>
            </w:pPr>
          </w:p>
        </w:tc>
      </w:tr>
      <w:tr w:rsidR="001C2E76" w:rsidRPr="003C5246" w14:paraId="1C77B5B5" w14:textId="77777777" w:rsidTr="00FE6EE9">
        <w:tc>
          <w:tcPr>
            <w:tcW w:w="171" w:type="pct"/>
            <w:vMerge w:val="restart"/>
            <w:shd w:val="clear" w:color="auto" w:fill="auto"/>
            <w:tcMar>
              <w:top w:w="0" w:type="dxa"/>
              <w:bottom w:w="0" w:type="dxa"/>
            </w:tcMar>
            <w:vAlign w:val="center"/>
          </w:tcPr>
          <w:p w14:paraId="293FE1F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4</w:t>
            </w:r>
          </w:p>
        </w:tc>
        <w:tc>
          <w:tcPr>
            <w:tcW w:w="3614" w:type="pct"/>
            <w:vMerge w:val="restart"/>
            <w:shd w:val="clear" w:color="auto" w:fill="auto"/>
            <w:tcMar>
              <w:top w:w="0" w:type="dxa"/>
              <w:bottom w:w="0" w:type="dxa"/>
            </w:tcMar>
            <w:vAlign w:val="center"/>
          </w:tcPr>
          <w:p w14:paraId="12CC969A"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revenue</w:t>
            </w:r>
          </w:p>
          <w:p w14:paraId="4DBA4B91"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net revenue from sales and provision of services + revenue from financial activities + Other income)</w:t>
            </w:r>
          </w:p>
        </w:tc>
        <w:tc>
          <w:tcPr>
            <w:tcW w:w="1215" w:type="pct"/>
            <w:shd w:val="clear" w:color="auto" w:fill="auto"/>
            <w:tcMar>
              <w:top w:w="0" w:type="dxa"/>
              <w:bottom w:w="0" w:type="dxa"/>
            </w:tcMar>
            <w:vAlign w:val="center"/>
          </w:tcPr>
          <w:p w14:paraId="7EF1C74C"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2,311,409,864,293</w:t>
            </w:r>
          </w:p>
        </w:tc>
      </w:tr>
      <w:tr w:rsidR="001C2E76" w:rsidRPr="003C5246" w14:paraId="2C796CAA" w14:textId="77777777" w:rsidTr="00FE6EE9">
        <w:tc>
          <w:tcPr>
            <w:tcW w:w="171" w:type="pct"/>
            <w:vMerge/>
            <w:shd w:val="clear" w:color="auto" w:fill="auto"/>
            <w:tcMar>
              <w:top w:w="0" w:type="dxa"/>
              <w:bottom w:w="0" w:type="dxa"/>
            </w:tcMar>
            <w:vAlign w:val="center"/>
          </w:tcPr>
          <w:p w14:paraId="3782A76A" w14:textId="77777777" w:rsidR="001C2E76" w:rsidRPr="003C5246" w:rsidRDefault="001C2E76" w:rsidP="00FE6EE9">
            <w:pPr>
              <w:pBdr>
                <w:top w:val="nil"/>
                <w:left w:val="nil"/>
                <w:bottom w:val="nil"/>
                <w:right w:val="nil"/>
                <w:between w:val="nil"/>
              </w:pBdr>
              <w:spacing w:after="120" w:line="360" w:lineRule="auto"/>
              <w:rPr>
                <w:rFonts w:ascii="Arial" w:eastAsia="Arial" w:hAnsi="Arial" w:cs="Arial"/>
                <w:color w:val="010000"/>
                <w:sz w:val="20"/>
                <w:szCs w:val="20"/>
              </w:rPr>
            </w:pPr>
          </w:p>
        </w:tc>
        <w:tc>
          <w:tcPr>
            <w:tcW w:w="3614" w:type="pct"/>
            <w:vMerge/>
            <w:shd w:val="clear" w:color="auto" w:fill="auto"/>
            <w:tcMar>
              <w:top w:w="0" w:type="dxa"/>
              <w:bottom w:w="0" w:type="dxa"/>
            </w:tcMar>
            <w:vAlign w:val="center"/>
          </w:tcPr>
          <w:p w14:paraId="2A5D4C00" w14:textId="77777777" w:rsidR="001C2E76" w:rsidRPr="003C5246" w:rsidRDefault="001C2E76" w:rsidP="00FE6EE9">
            <w:pPr>
              <w:pBdr>
                <w:top w:val="nil"/>
                <w:left w:val="nil"/>
                <w:bottom w:val="nil"/>
                <w:right w:val="nil"/>
                <w:between w:val="nil"/>
              </w:pBdr>
              <w:spacing w:after="120" w:line="360" w:lineRule="auto"/>
              <w:rPr>
                <w:rFonts w:ascii="Arial" w:eastAsia="Arial" w:hAnsi="Arial" w:cs="Arial"/>
                <w:color w:val="010000"/>
                <w:sz w:val="20"/>
                <w:szCs w:val="20"/>
              </w:rPr>
            </w:pPr>
          </w:p>
        </w:tc>
        <w:tc>
          <w:tcPr>
            <w:tcW w:w="1215" w:type="pct"/>
            <w:shd w:val="clear" w:color="auto" w:fill="auto"/>
            <w:tcMar>
              <w:top w:w="0" w:type="dxa"/>
              <w:bottom w:w="0" w:type="dxa"/>
            </w:tcMar>
            <w:vAlign w:val="center"/>
          </w:tcPr>
          <w:p w14:paraId="58396235" w14:textId="77777777" w:rsidR="001C2E76" w:rsidRPr="003C5246" w:rsidRDefault="001C2E76" w:rsidP="00FE6EE9">
            <w:pPr>
              <w:pBdr>
                <w:top w:val="nil"/>
                <w:left w:val="nil"/>
                <w:bottom w:val="nil"/>
                <w:right w:val="nil"/>
                <w:between w:val="nil"/>
              </w:pBdr>
              <w:spacing w:after="120" w:line="360" w:lineRule="auto"/>
              <w:rPr>
                <w:rFonts w:ascii="Arial" w:eastAsia="Arial" w:hAnsi="Arial" w:cs="Arial"/>
                <w:color w:val="010000"/>
                <w:sz w:val="20"/>
                <w:szCs w:val="20"/>
              </w:rPr>
            </w:pPr>
          </w:p>
        </w:tc>
      </w:tr>
      <w:tr w:rsidR="001C2E76" w:rsidRPr="003C5246" w14:paraId="5391778F" w14:textId="77777777" w:rsidTr="00FE6EE9">
        <w:tc>
          <w:tcPr>
            <w:tcW w:w="171" w:type="pct"/>
            <w:vMerge w:val="restart"/>
            <w:shd w:val="clear" w:color="auto" w:fill="auto"/>
            <w:tcMar>
              <w:top w:w="0" w:type="dxa"/>
              <w:bottom w:w="0" w:type="dxa"/>
            </w:tcMar>
            <w:vAlign w:val="center"/>
          </w:tcPr>
          <w:p w14:paraId="494A6E54"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5</w:t>
            </w:r>
          </w:p>
        </w:tc>
        <w:tc>
          <w:tcPr>
            <w:tcW w:w="3614" w:type="pct"/>
            <w:shd w:val="clear" w:color="auto" w:fill="auto"/>
            <w:tcMar>
              <w:top w:w="0" w:type="dxa"/>
              <w:bottom w:w="0" w:type="dxa"/>
            </w:tcMar>
            <w:vAlign w:val="center"/>
          </w:tcPr>
          <w:p w14:paraId="47776BAD"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expenses:</w:t>
            </w:r>
          </w:p>
        </w:tc>
        <w:tc>
          <w:tcPr>
            <w:tcW w:w="1215" w:type="pct"/>
            <w:shd w:val="clear" w:color="auto" w:fill="auto"/>
            <w:tcMar>
              <w:top w:w="0" w:type="dxa"/>
              <w:bottom w:w="0" w:type="dxa"/>
            </w:tcMar>
            <w:vAlign w:val="center"/>
          </w:tcPr>
          <w:p w14:paraId="4B6A998C"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2,244,566,287,479</w:t>
            </w:r>
          </w:p>
        </w:tc>
      </w:tr>
      <w:tr w:rsidR="001C2E76" w:rsidRPr="003C5246" w14:paraId="7DAE4218" w14:textId="77777777" w:rsidTr="00FE6EE9">
        <w:tc>
          <w:tcPr>
            <w:tcW w:w="171" w:type="pct"/>
            <w:vMerge/>
            <w:shd w:val="clear" w:color="auto" w:fill="auto"/>
            <w:tcMar>
              <w:top w:w="0" w:type="dxa"/>
              <w:bottom w:w="0" w:type="dxa"/>
            </w:tcMar>
            <w:vAlign w:val="center"/>
          </w:tcPr>
          <w:p w14:paraId="0EA491C7" w14:textId="77777777" w:rsidR="001C2E76" w:rsidRPr="003C5246" w:rsidRDefault="001C2E76" w:rsidP="00FE6EE9">
            <w:pPr>
              <w:pBdr>
                <w:top w:val="nil"/>
                <w:left w:val="nil"/>
                <w:bottom w:val="nil"/>
                <w:right w:val="nil"/>
                <w:between w:val="nil"/>
              </w:pBdr>
              <w:spacing w:after="120" w:line="360" w:lineRule="auto"/>
              <w:rPr>
                <w:rFonts w:ascii="Arial" w:eastAsia="Arial" w:hAnsi="Arial" w:cs="Arial"/>
                <w:color w:val="010000"/>
                <w:sz w:val="20"/>
                <w:szCs w:val="20"/>
              </w:rPr>
            </w:pPr>
          </w:p>
        </w:tc>
        <w:tc>
          <w:tcPr>
            <w:tcW w:w="3614" w:type="pct"/>
            <w:shd w:val="clear" w:color="auto" w:fill="auto"/>
            <w:tcMar>
              <w:top w:w="0" w:type="dxa"/>
              <w:bottom w:w="0" w:type="dxa"/>
            </w:tcMar>
            <w:vAlign w:val="center"/>
          </w:tcPr>
          <w:p w14:paraId="5A79373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Cost of goods sold + Financial expenses + Business management expenses + Sales expenses + Ceremonies in joint venture companies + Other expenses)</w:t>
            </w:r>
          </w:p>
        </w:tc>
        <w:tc>
          <w:tcPr>
            <w:tcW w:w="1215" w:type="pct"/>
            <w:shd w:val="clear" w:color="auto" w:fill="auto"/>
            <w:tcMar>
              <w:top w:w="0" w:type="dxa"/>
              <w:bottom w:w="0" w:type="dxa"/>
            </w:tcMar>
            <w:vAlign w:val="center"/>
          </w:tcPr>
          <w:p w14:paraId="7747199B" w14:textId="77777777" w:rsidR="001C2E76" w:rsidRPr="003C5246" w:rsidRDefault="001C2E76" w:rsidP="00FE6EE9">
            <w:pPr>
              <w:pBdr>
                <w:top w:val="nil"/>
                <w:left w:val="nil"/>
                <w:bottom w:val="nil"/>
                <w:right w:val="nil"/>
                <w:between w:val="nil"/>
              </w:pBdr>
              <w:spacing w:after="120" w:line="360" w:lineRule="auto"/>
              <w:rPr>
                <w:rFonts w:ascii="Arial" w:eastAsia="Arial" w:hAnsi="Arial" w:cs="Arial"/>
                <w:color w:val="010000"/>
                <w:sz w:val="20"/>
                <w:szCs w:val="20"/>
              </w:rPr>
            </w:pPr>
          </w:p>
        </w:tc>
      </w:tr>
      <w:tr w:rsidR="001C2E76" w:rsidRPr="003C5246" w14:paraId="2350C0A4" w14:textId="77777777" w:rsidTr="00FE6EE9">
        <w:tc>
          <w:tcPr>
            <w:tcW w:w="171" w:type="pct"/>
            <w:shd w:val="clear" w:color="auto" w:fill="auto"/>
            <w:tcMar>
              <w:top w:w="0" w:type="dxa"/>
              <w:bottom w:w="0" w:type="dxa"/>
            </w:tcMar>
            <w:vAlign w:val="center"/>
          </w:tcPr>
          <w:p w14:paraId="212A9D6A"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6</w:t>
            </w:r>
          </w:p>
        </w:tc>
        <w:tc>
          <w:tcPr>
            <w:tcW w:w="3614" w:type="pct"/>
            <w:shd w:val="clear" w:color="auto" w:fill="auto"/>
            <w:tcMar>
              <w:top w:w="0" w:type="dxa"/>
              <w:bottom w:w="0" w:type="dxa"/>
            </w:tcMar>
            <w:vAlign w:val="center"/>
          </w:tcPr>
          <w:p w14:paraId="7AE5A75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before tax in 2023</w:t>
            </w:r>
          </w:p>
        </w:tc>
        <w:tc>
          <w:tcPr>
            <w:tcW w:w="1215" w:type="pct"/>
            <w:shd w:val="clear" w:color="auto" w:fill="auto"/>
            <w:tcMar>
              <w:top w:w="0" w:type="dxa"/>
              <w:bottom w:w="0" w:type="dxa"/>
            </w:tcMar>
            <w:vAlign w:val="center"/>
          </w:tcPr>
          <w:p w14:paraId="5752ECBC"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66,843,576,814</w:t>
            </w:r>
          </w:p>
        </w:tc>
      </w:tr>
      <w:tr w:rsidR="001C2E76" w:rsidRPr="003C5246" w14:paraId="0CB0EEC4" w14:textId="77777777" w:rsidTr="00FE6EE9">
        <w:tc>
          <w:tcPr>
            <w:tcW w:w="171" w:type="pct"/>
            <w:shd w:val="clear" w:color="auto" w:fill="auto"/>
            <w:tcMar>
              <w:top w:w="0" w:type="dxa"/>
              <w:bottom w:w="0" w:type="dxa"/>
            </w:tcMar>
            <w:vAlign w:val="center"/>
          </w:tcPr>
          <w:p w14:paraId="6BFB0CF9"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7</w:t>
            </w:r>
          </w:p>
        </w:tc>
        <w:tc>
          <w:tcPr>
            <w:tcW w:w="3614" w:type="pct"/>
            <w:shd w:val="clear" w:color="auto" w:fill="auto"/>
            <w:tcMar>
              <w:top w:w="0" w:type="dxa"/>
              <w:bottom w:w="0" w:type="dxa"/>
            </w:tcMar>
            <w:vAlign w:val="center"/>
          </w:tcPr>
          <w:p w14:paraId="192D8B8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after tax in 2023</w:t>
            </w:r>
          </w:p>
        </w:tc>
        <w:tc>
          <w:tcPr>
            <w:tcW w:w="1215" w:type="pct"/>
            <w:shd w:val="clear" w:color="auto" w:fill="auto"/>
            <w:tcMar>
              <w:top w:w="0" w:type="dxa"/>
              <w:bottom w:w="0" w:type="dxa"/>
            </w:tcMar>
            <w:vAlign w:val="center"/>
          </w:tcPr>
          <w:p w14:paraId="034F1A4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42,299,627,346</w:t>
            </w:r>
          </w:p>
        </w:tc>
      </w:tr>
    </w:tbl>
    <w:p w14:paraId="7AC4932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Article 5: Approve the plan to distribute profits, pay remuneration of the Board of Directors, the Supervisory Board and bonus the Executive Board in 2023:</w:t>
      </w:r>
    </w:p>
    <w:p w14:paraId="624ED1C5" w14:textId="77777777" w:rsidR="001C2E76" w:rsidRPr="003C5246" w:rsidRDefault="000C429C" w:rsidP="00FE6EE9">
      <w:pPr>
        <w:numPr>
          <w:ilvl w:val="0"/>
          <w:numId w:val="1"/>
        </w:numPr>
        <w:pBdr>
          <w:top w:val="nil"/>
          <w:left w:val="nil"/>
          <w:bottom w:val="nil"/>
          <w:right w:val="nil"/>
          <w:between w:val="nil"/>
        </w:pBdr>
        <w:tabs>
          <w:tab w:val="left" w:pos="325"/>
        </w:tabs>
        <w:spacing w:after="120" w:line="360" w:lineRule="auto"/>
        <w:rPr>
          <w:rFonts w:ascii="Arial" w:eastAsia="Arial" w:hAnsi="Arial" w:cs="Arial"/>
          <w:color w:val="010000"/>
          <w:sz w:val="20"/>
          <w:szCs w:val="20"/>
        </w:rPr>
      </w:pPr>
      <w:r w:rsidRPr="003C5246">
        <w:rPr>
          <w:rFonts w:ascii="Arial" w:hAnsi="Arial" w:cs="Arial"/>
          <w:color w:val="010000"/>
          <w:sz w:val="20"/>
        </w:rPr>
        <w:t>Profit after tax of the Holding Company VND 50,401,726,974</w:t>
      </w:r>
    </w:p>
    <w:p w14:paraId="04D2588C" w14:textId="77777777" w:rsidR="001C2E76" w:rsidRPr="003C5246" w:rsidRDefault="000C429C" w:rsidP="00FE6EE9">
      <w:pPr>
        <w:numPr>
          <w:ilvl w:val="0"/>
          <w:numId w:val="1"/>
        </w:numPr>
        <w:pBdr>
          <w:top w:val="nil"/>
          <w:left w:val="nil"/>
          <w:bottom w:val="nil"/>
          <w:right w:val="nil"/>
          <w:between w:val="nil"/>
        </w:pBdr>
        <w:tabs>
          <w:tab w:val="left" w:pos="358"/>
        </w:tabs>
        <w:spacing w:after="120" w:line="360" w:lineRule="auto"/>
        <w:rPr>
          <w:rFonts w:ascii="Arial" w:eastAsia="Arial" w:hAnsi="Arial" w:cs="Arial"/>
          <w:color w:val="010000"/>
          <w:sz w:val="20"/>
          <w:szCs w:val="20"/>
        </w:rPr>
      </w:pPr>
      <w:r w:rsidRPr="003C5246">
        <w:rPr>
          <w:rFonts w:ascii="Arial" w:hAnsi="Arial" w:cs="Arial"/>
          <w:color w:val="010000"/>
          <w:sz w:val="20"/>
        </w:rPr>
        <w:t>Appropriation of funds and dividends:</w:t>
      </w:r>
    </w:p>
    <w:p w14:paraId="149BAE81" w14:textId="77777777" w:rsidR="001C2E76" w:rsidRPr="003C5246" w:rsidRDefault="000C429C" w:rsidP="00FE6EE9">
      <w:pPr>
        <w:numPr>
          <w:ilvl w:val="0"/>
          <w:numId w:val="2"/>
        </w:numPr>
        <w:pBdr>
          <w:top w:val="nil"/>
          <w:left w:val="nil"/>
          <w:bottom w:val="nil"/>
          <w:right w:val="nil"/>
          <w:between w:val="nil"/>
        </w:pBdr>
        <w:tabs>
          <w:tab w:val="left" w:pos="432"/>
          <w:tab w:val="left" w:pos="872"/>
          <w:tab w:val="left" w:pos="3350"/>
        </w:tabs>
        <w:spacing w:after="120" w:line="360" w:lineRule="auto"/>
        <w:rPr>
          <w:rFonts w:ascii="Arial" w:eastAsia="Arial" w:hAnsi="Arial" w:cs="Arial"/>
          <w:color w:val="010000"/>
          <w:sz w:val="20"/>
          <w:szCs w:val="20"/>
        </w:rPr>
      </w:pPr>
      <w:r w:rsidRPr="003C5246">
        <w:rPr>
          <w:rFonts w:ascii="Arial" w:hAnsi="Arial" w:cs="Arial"/>
          <w:color w:val="010000"/>
          <w:sz w:val="20"/>
        </w:rPr>
        <w:t>Bonus fund: VND 1,008,034,539 (2% of profit after tax).</w:t>
      </w:r>
    </w:p>
    <w:p w14:paraId="338254D2" w14:textId="77777777" w:rsidR="001C2E76" w:rsidRPr="003C5246" w:rsidRDefault="000C429C" w:rsidP="00FE6EE9">
      <w:pPr>
        <w:numPr>
          <w:ilvl w:val="0"/>
          <w:numId w:val="2"/>
        </w:numPr>
        <w:pBdr>
          <w:top w:val="nil"/>
          <w:left w:val="nil"/>
          <w:bottom w:val="nil"/>
          <w:right w:val="nil"/>
          <w:between w:val="nil"/>
        </w:pBdr>
        <w:tabs>
          <w:tab w:val="left" w:pos="432"/>
          <w:tab w:val="left" w:pos="872"/>
          <w:tab w:val="left" w:pos="3350"/>
        </w:tabs>
        <w:spacing w:after="120" w:line="360" w:lineRule="auto"/>
        <w:rPr>
          <w:rFonts w:ascii="Arial" w:eastAsia="Arial" w:hAnsi="Arial" w:cs="Arial"/>
          <w:color w:val="010000"/>
          <w:sz w:val="20"/>
          <w:szCs w:val="20"/>
        </w:rPr>
      </w:pPr>
      <w:r w:rsidRPr="003C5246">
        <w:rPr>
          <w:rFonts w:ascii="Arial" w:hAnsi="Arial" w:cs="Arial"/>
          <w:color w:val="010000"/>
          <w:sz w:val="20"/>
        </w:rPr>
        <w:t>Welfare fund: VND 1,008,034,539 (2% of profit after tax).</w:t>
      </w:r>
    </w:p>
    <w:p w14:paraId="29FCBA7B" w14:textId="77777777" w:rsidR="001C2E76" w:rsidRPr="003C5246" w:rsidRDefault="000C429C" w:rsidP="00FE6EE9">
      <w:pPr>
        <w:numPr>
          <w:ilvl w:val="0"/>
          <w:numId w:val="1"/>
        </w:numPr>
        <w:pBdr>
          <w:top w:val="nil"/>
          <w:left w:val="nil"/>
          <w:bottom w:val="nil"/>
          <w:right w:val="nil"/>
          <w:between w:val="nil"/>
        </w:pBdr>
        <w:tabs>
          <w:tab w:val="left" w:pos="358"/>
        </w:tabs>
        <w:spacing w:after="120" w:line="360" w:lineRule="auto"/>
        <w:rPr>
          <w:rFonts w:ascii="Arial" w:eastAsia="Arial" w:hAnsi="Arial" w:cs="Arial"/>
          <w:color w:val="010000"/>
          <w:sz w:val="20"/>
          <w:szCs w:val="20"/>
        </w:rPr>
      </w:pPr>
      <w:r w:rsidRPr="003C5246">
        <w:rPr>
          <w:rFonts w:ascii="Arial" w:hAnsi="Arial" w:cs="Arial"/>
          <w:color w:val="010000"/>
          <w:sz w:val="20"/>
        </w:rPr>
        <w:t>Remuneration of the Board of Directors, Supervisory Board:</w:t>
      </w:r>
    </w:p>
    <w:p w14:paraId="5F8AD161" w14:textId="77777777" w:rsidR="001C2E76" w:rsidRPr="003C5246" w:rsidRDefault="000C429C" w:rsidP="00FE6EE9">
      <w:pPr>
        <w:pBdr>
          <w:top w:val="nil"/>
          <w:left w:val="nil"/>
          <w:bottom w:val="nil"/>
          <w:right w:val="nil"/>
          <w:between w:val="nil"/>
        </w:pBdr>
        <w:tabs>
          <w:tab w:val="left" w:pos="3350"/>
        </w:tabs>
        <w:spacing w:after="120" w:line="360" w:lineRule="auto"/>
        <w:rPr>
          <w:rFonts w:ascii="Arial" w:eastAsia="Arial" w:hAnsi="Arial" w:cs="Arial"/>
          <w:color w:val="010000"/>
          <w:sz w:val="20"/>
          <w:szCs w:val="20"/>
        </w:rPr>
      </w:pPr>
      <w:r w:rsidRPr="003C5246">
        <w:rPr>
          <w:rFonts w:ascii="Arial" w:hAnsi="Arial" w:cs="Arial"/>
          <w:color w:val="010000"/>
          <w:sz w:val="20"/>
        </w:rPr>
        <w:t>Remuneration is: VND 1,008,034,539 (2% of profit after tax for profit in the plan)</w:t>
      </w:r>
    </w:p>
    <w:p w14:paraId="779A976C" w14:textId="77777777" w:rsidR="001C2E76" w:rsidRPr="003C5246" w:rsidRDefault="000C429C" w:rsidP="00FE6EE9">
      <w:pPr>
        <w:numPr>
          <w:ilvl w:val="0"/>
          <w:numId w:val="1"/>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3C5246">
        <w:rPr>
          <w:rFonts w:ascii="Arial" w:hAnsi="Arial" w:cs="Arial"/>
          <w:color w:val="010000"/>
          <w:sz w:val="20"/>
        </w:rPr>
        <w:t>Bonus for the Executive Board: VND 504,017,270, equivalent to 1% of profit after tax for profit in the plan;</w:t>
      </w:r>
    </w:p>
    <w:p w14:paraId="00AFF78F" w14:textId="63EF35C0" w:rsidR="001C2E76" w:rsidRPr="003C5246" w:rsidRDefault="000C429C" w:rsidP="00FE6EE9">
      <w:pPr>
        <w:numPr>
          <w:ilvl w:val="0"/>
          <w:numId w:val="1"/>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Dividend payment of 2023 Based on the results of the Company's production and business activities in 2023 and the market economic situation in 2024, the Board of Directors of the Company requests the </w:t>
      </w:r>
      <w:r w:rsidR="003C5246" w:rsidRPr="003C5246">
        <w:rPr>
          <w:rFonts w:ascii="Arial" w:hAnsi="Arial" w:cs="Arial"/>
          <w:color w:val="010000"/>
          <w:sz w:val="20"/>
        </w:rPr>
        <w:t>General Meeting of Shareholders</w:t>
      </w:r>
      <w:r w:rsidRPr="003C5246">
        <w:rPr>
          <w:rFonts w:ascii="Arial" w:hAnsi="Arial" w:cs="Arial"/>
          <w:color w:val="010000"/>
          <w:sz w:val="20"/>
        </w:rPr>
        <w:t xml:space="preserve"> to approve the non-payment of dividends in 2023.</w:t>
      </w:r>
    </w:p>
    <w:p w14:paraId="79B8DD05"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Article 6: Approve the production and business plan for 2024:</w:t>
      </w:r>
    </w:p>
    <w:p w14:paraId="4404123C" w14:textId="77777777" w:rsidR="001C2E76" w:rsidRPr="003C5246" w:rsidRDefault="000C429C" w:rsidP="00FE6EE9">
      <w:pPr>
        <w:numPr>
          <w:ilvl w:val="0"/>
          <w:numId w:val="3"/>
        </w:numPr>
        <w:pBdr>
          <w:top w:val="nil"/>
          <w:left w:val="nil"/>
          <w:bottom w:val="nil"/>
          <w:right w:val="nil"/>
          <w:between w:val="nil"/>
        </w:pBdr>
        <w:tabs>
          <w:tab w:val="left" w:pos="334"/>
        </w:tabs>
        <w:spacing w:after="120" w:line="360" w:lineRule="auto"/>
        <w:rPr>
          <w:rFonts w:ascii="Arial" w:eastAsia="Arial" w:hAnsi="Arial" w:cs="Arial"/>
          <w:color w:val="010000"/>
          <w:sz w:val="20"/>
          <w:szCs w:val="20"/>
        </w:rPr>
      </w:pPr>
      <w:r w:rsidRPr="003C5246">
        <w:rPr>
          <w:rFonts w:ascii="Arial" w:hAnsi="Arial" w:cs="Arial"/>
          <w:color w:val="010000"/>
          <w:sz w:val="20"/>
        </w:rPr>
        <w:t>The Holding Company:</w:t>
      </w:r>
    </w:p>
    <w:tbl>
      <w:tblPr>
        <w:tblStyle w:val="a3"/>
        <w:tblW w:w="5000" w:type="pct"/>
        <w:tblLook w:val="0400" w:firstRow="0" w:lastRow="0" w:firstColumn="0" w:lastColumn="0" w:noHBand="0" w:noVBand="1"/>
      </w:tblPr>
      <w:tblGrid>
        <w:gridCol w:w="2602"/>
        <w:gridCol w:w="6425"/>
      </w:tblGrid>
      <w:tr w:rsidR="001C2E76" w:rsidRPr="003C5246" w14:paraId="68728CF3" w14:textId="77777777" w:rsidTr="00FE6EE9">
        <w:tc>
          <w:tcPr>
            <w:tcW w:w="1441" w:type="pct"/>
            <w:shd w:val="clear" w:color="auto" w:fill="auto"/>
            <w:tcMar>
              <w:top w:w="0" w:type="dxa"/>
              <w:bottom w:w="0" w:type="dxa"/>
            </w:tcMar>
            <w:vAlign w:val="center"/>
          </w:tcPr>
          <w:p w14:paraId="6B3C721E"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output value</w:t>
            </w:r>
          </w:p>
        </w:tc>
        <w:tc>
          <w:tcPr>
            <w:tcW w:w="3559" w:type="pct"/>
            <w:shd w:val="clear" w:color="auto" w:fill="auto"/>
            <w:tcMar>
              <w:top w:w="0" w:type="dxa"/>
              <w:bottom w:w="0" w:type="dxa"/>
            </w:tcMar>
            <w:vAlign w:val="center"/>
          </w:tcPr>
          <w:p w14:paraId="08F2DF7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VND 2,521.849 billion</w:t>
            </w:r>
          </w:p>
        </w:tc>
      </w:tr>
      <w:tr w:rsidR="001C2E76" w:rsidRPr="003C5246" w14:paraId="7A3A2CBA" w14:textId="77777777" w:rsidTr="00FE6EE9">
        <w:tc>
          <w:tcPr>
            <w:tcW w:w="1441" w:type="pct"/>
            <w:shd w:val="clear" w:color="auto" w:fill="auto"/>
            <w:tcMar>
              <w:top w:w="0" w:type="dxa"/>
              <w:bottom w:w="0" w:type="dxa"/>
            </w:tcMar>
            <w:vAlign w:val="center"/>
          </w:tcPr>
          <w:p w14:paraId="0D962823"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Revenue:</w:t>
            </w:r>
          </w:p>
        </w:tc>
        <w:tc>
          <w:tcPr>
            <w:tcW w:w="3559" w:type="pct"/>
            <w:shd w:val="clear" w:color="auto" w:fill="auto"/>
            <w:tcMar>
              <w:top w:w="0" w:type="dxa"/>
              <w:bottom w:w="0" w:type="dxa"/>
            </w:tcMar>
            <w:vAlign w:val="center"/>
          </w:tcPr>
          <w:p w14:paraId="548E82BB"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VND 2,420.826 billion</w:t>
            </w:r>
          </w:p>
        </w:tc>
      </w:tr>
      <w:tr w:rsidR="001C2E76" w:rsidRPr="003C5246" w14:paraId="0B03A8D8" w14:textId="77777777" w:rsidTr="00FE6EE9">
        <w:tc>
          <w:tcPr>
            <w:tcW w:w="1441" w:type="pct"/>
            <w:shd w:val="clear" w:color="auto" w:fill="auto"/>
            <w:tcMar>
              <w:top w:w="0" w:type="dxa"/>
              <w:bottom w:w="0" w:type="dxa"/>
            </w:tcMar>
            <w:vAlign w:val="center"/>
          </w:tcPr>
          <w:p w14:paraId="24D2D1E2"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lastRenderedPageBreak/>
              <w:t>Profit before tax:</w:t>
            </w:r>
          </w:p>
          <w:p w14:paraId="46CA9DB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after tax:</w:t>
            </w:r>
          </w:p>
        </w:tc>
        <w:tc>
          <w:tcPr>
            <w:tcW w:w="3559" w:type="pct"/>
            <w:shd w:val="clear" w:color="auto" w:fill="auto"/>
            <w:tcMar>
              <w:top w:w="0" w:type="dxa"/>
              <w:bottom w:w="0" w:type="dxa"/>
            </w:tcMar>
            <w:vAlign w:val="center"/>
          </w:tcPr>
          <w:p w14:paraId="66128FA3"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VND 79.586 billion</w:t>
            </w:r>
          </w:p>
          <w:p w14:paraId="711D459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VND 63.640 billion</w:t>
            </w:r>
          </w:p>
        </w:tc>
      </w:tr>
    </w:tbl>
    <w:p w14:paraId="26712B08" w14:textId="47D2B8B8"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Dividend payment rate: Based on the Production and Business Results 2024, the Board of Directors will submit a dividend payment plan at the Annual </w:t>
      </w:r>
      <w:r w:rsidR="003C5246" w:rsidRPr="003C5246">
        <w:rPr>
          <w:rFonts w:ascii="Arial" w:hAnsi="Arial" w:cs="Arial"/>
          <w:color w:val="010000"/>
          <w:sz w:val="20"/>
        </w:rPr>
        <w:t>General Meeting of Shareholders</w:t>
      </w:r>
      <w:r w:rsidRPr="003C5246">
        <w:rPr>
          <w:rFonts w:ascii="Arial" w:hAnsi="Arial" w:cs="Arial"/>
          <w:color w:val="010000"/>
          <w:sz w:val="20"/>
        </w:rPr>
        <w:t xml:space="preserve"> 2025.</w:t>
      </w:r>
    </w:p>
    <w:tbl>
      <w:tblPr>
        <w:tblStyle w:val="a4"/>
        <w:tblW w:w="5000" w:type="pct"/>
        <w:tblLook w:val="0400" w:firstRow="0" w:lastRow="0" w:firstColumn="0" w:lastColumn="0" w:noHBand="0" w:noVBand="1"/>
      </w:tblPr>
      <w:tblGrid>
        <w:gridCol w:w="2602"/>
        <w:gridCol w:w="6425"/>
      </w:tblGrid>
      <w:tr w:rsidR="001C2E76" w:rsidRPr="003C5246" w14:paraId="510DE4F4" w14:textId="77777777" w:rsidTr="00FE6EE9">
        <w:tc>
          <w:tcPr>
            <w:tcW w:w="5000" w:type="pct"/>
            <w:gridSpan w:val="2"/>
            <w:shd w:val="clear" w:color="auto" w:fill="auto"/>
            <w:tcMar>
              <w:top w:w="0" w:type="dxa"/>
              <w:bottom w:w="0" w:type="dxa"/>
            </w:tcMar>
            <w:vAlign w:val="center"/>
          </w:tcPr>
          <w:p w14:paraId="5E8C8D19" w14:textId="77777777" w:rsidR="001C2E76" w:rsidRPr="003C5246" w:rsidRDefault="000C429C" w:rsidP="00FE6EE9">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Whole company (consolidation):</w:t>
            </w:r>
          </w:p>
        </w:tc>
      </w:tr>
      <w:tr w:rsidR="001C2E76" w:rsidRPr="003C5246" w14:paraId="12AE48B7" w14:textId="77777777" w:rsidTr="00FE6EE9">
        <w:tc>
          <w:tcPr>
            <w:tcW w:w="1441" w:type="pct"/>
            <w:shd w:val="clear" w:color="auto" w:fill="auto"/>
            <w:tcMar>
              <w:top w:w="0" w:type="dxa"/>
              <w:bottom w:w="0" w:type="dxa"/>
            </w:tcMar>
            <w:vAlign w:val="center"/>
          </w:tcPr>
          <w:p w14:paraId="1D153B8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Total output value</w:t>
            </w:r>
          </w:p>
        </w:tc>
        <w:tc>
          <w:tcPr>
            <w:tcW w:w="3559" w:type="pct"/>
            <w:shd w:val="clear" w:color="auto" w:fill="auto"/>
            <w:tcMar>
              <w:top w:w="0" w:type="dxa"/>
              <w:bottom w:w="0" w:type="dxa"/>
            </w:tcMar>
            <w:vAlign w:val="center"/>
          </w:tcPr>
          <w:p w14:paraId="529AAB6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VND 2,579.067 billion</w:t>
            </w:r>
          </w:p>
        </w:tc>
      </w:tr>
      <w:tr w:rsidR="001C2E76" w:rsidRPr="003C5246" w14:paraId="0EEEEF87" w14:textId="77777777" w:rsidTr="00FE6EE9">
        <w:tc>
          <w:tcPr>
            <w:tcW w:w="1441" w:type="pct"/>
            <w:shd w:val="clear" w:color="auto" w:fill="auto"/>
            <w:tcMar>
              <w:top w:w="0" w:type="dxa"/>
              <w:bottom w:w="0" w:type="dxa"/>
            </w:tcMar>
            <w:vAlign w:val="center"/>
          </w:tcPr>
          <w:p w14:paraId="4328541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Revenue:</w:t>
            </w:r>
          </w:p>
        </w:tc>
        <w:tc>
          <w:tcPr>
            <w:tcW w:w="3559" w:type="pct"/>
            <w:shd w:val="clear" w:color="auto" w:fill="auto"/>
            <w:tcMar>
              <w:top w:w="0" w:type="dxa"/>
              <w:bottom w:w="0" w:type="dxa"/>
            </w:tcMar>
            <w:vAlign w:val="center"/>
          </w:tcPr>
          <w:p w14:paraId="7D2EFEB9"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VND 2,528.857 billion</w:t>
            </w:r>
          </w:p>
        </w:tc>
      </w:tr>
      <w:tr w:rsidR="001C2E76" w:rsidRPr="003C5246" w14:paraId="79F5C822" w14:textId="77777777" w:rsidTr="00FE6EE9">
        <w:tc>
          <w:tcPr>
            <w:tcW w:w="1441" w:type="pct"/>
            <w:shd w:val="clear" w:color="auto" w:fill="auto"/>
            <w:tcMar>
              <w:top w:w="0" w:type="dxa"/>
              <w:bottom w:w="0" w:type="dxa"/>
            </w:tcMar>
            <w:vAlign w:val="center"/>
          </w:tcPr>
          <w:p w14:paraId="7F67CC4E"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before tax:</w:t>
            </w:r>
          </w:p>
        </w:tc>
        <w:tc>
          <w:tcPr>
            <w:tcW w:w="3559" w:type="pct"/>
            <w:shd w:val="clear" w:color="auto" w:fill="auto"/>
            <w:tcMar>
              <w:top w:w="0" w:type="dxa"/>
              <w:bottom w:w="0" w:type="dxa"/>
            </w:tcMar>
            <w:vAlign w:val="center"/>
          </w:tcPr>
          <w:p w14:paraId="7B013FB4" w14:textId="099885AC" w:rsidR="001C2E76" w:rsidRPr="003C5246" w:rsidRDefault="000C429C" w:rsidP="003C5246">
            <w:pPr>
              <w:pBdr>
                <w:top w:val="nil"/>
                <w:left w:val="nil"/>
                <w:bottom w:val="nil"/>
                <w:right w:val="nil"/>
                <w:between w:val="nil"/>
              </w:pBdr>
              <w:tabs>
                <w:tab w:val="left" w:pos="5045"/>
              </w:tabs>
              <w:spacing w:after="120" w:line="360" w:lineRule="auto"/>
              <w:rPr>
                <w:rFonts w:ascii="Arial" w:eastAsia="Arial" w:hAnsi="Arial" w:cs="Arial"/>
                <w:color w:val="010000"/>
                <w:sz w:val="20"/>
                <w:szCs w:val="20"/>
              </w:rPr>
            </w:pPr>
            <w:r w:rsidRPr="003C5246">
              <w:rPr>
                <w:rFonts w:ascii="Arial" w:hAnsi="Arial" w:cs="Arial"/>
                <w:color w:val="010000"/>
                <w:sz w:val="20"/>
              </w:rPr>
              <w:t>VND 83.582 billion</w:t>
            </w:r>
          </w:p>
        </w:tc>
      </w:tr>
      <w:tr w:rsidR="001C2E76" w:rsidRPr="003C5246" w14:paraId="15C776DE" w14:textId="77777777" w:rsidTr="00FE6EE9">
        <w:tc>
          <w:tcPr>
            <w:tcW w:w="1441" w:type="pct"/>
            <w:shd w:val="clear" w:color="auto" w:fill="auto"/>
            <w:tcMar>
              <w:top w:w="0" w:type="dxa"/>
              <w:bottom w:w="0" w:type="dxa"/>
            </w:tcMar>
            <w:vAlign w:val="center"/>
          </w:tcPr>
          <w:p w14:paraId="650BC858"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Profit after tax:</w:t>
            </w:r>
          </w:p>
        </w:tc>
        <w:tc>
          <w:tcPr>
            <w:tcW w:w="3559" w:type="pct"/>
            <w:shd w:val="clear" w:color="auto" w:fill="auto"/>
            <w:tcMar>
              <w:top w:w="0" w:type="dxa"/>
              <w:bottom w:w="0" w:type="dxa"/>
            </w:tcMar>
            <w:vAlign w:val="center"/>
          </w:tcPr>
          <w:p w14:paraId="1011CBE3"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VND 66.003 billion</w:t>
            </w:r>
          </w:p>
        </w:tc>
      </w:tr>
    </w:tbl>
    <w:p w14:paraId="36C97335" w14:textId="7A4EE5E9"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Article 7: Approve the plan to select an audit organization for the </w:t>
      </w:r>
      <w:r w:rsidR="003C5246" w:rsidRPr="003C5246">
        <w:rPr>
          <w:rFonts w:ascii="Arial" w:hAnsi="Arial" w:cs="Arial"/>
          <w:color w:val="010000"/>
          <w:sz w:val="20"/>
        </w:rPr>
        <w:t>Financial Statements</w:t>
      </w:r>
      <w:r w:rsidRPr="003C5246">
        <w:rPr>
          <w:rFonts w:ascii="Arial" w:hAnsi="Arial" w:cs="Arial"/>
          <w:color w:val="010000"/>
          <w:sz w:val="20"/>
        </w:rPr>
        <w:t xml:space="preserve"> 2024 and the contents authorized to the Board of Directors, specifically:</w:t>
      </w:r>
    </w:p>
    <w:p w14:paraId="6955861A" w14:textId="3BEF3329"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The </w:t>
      </w:r>
      <w:r w:rsidR="003C5246" w:rsidRPr="003C5246">
        <w:rPr>
          <w:rFonts w:ascii="Arial" w:hAnsi="Arial" w:cs="Arial"/>
          <w:color w:val="010000"/>
          <w:sz w:val="20"/>
        </w:rPr>
        <w:t>General Meeting of Shareholders</w:t>
      </w:r>
      <w:r w:rsidRPr="003C5246">
        <w:rPr>
          <w:rFonts w:ascii="Arial" w:hAnsi="Arial" w:cs="Arial"/>
          <w:color w:val="010000"/>
          <w:sz w:val="20"/>
        </w:rPr>
        <w:t xml:space="preserve"> authorized the Board of Directors of the Company to decide on the selection of an </w:t>
      </w:r>
      <w:r w:rsidR="003C5246" w:rsidRPr="003C5246">
        <w:rPr>
          <w:rFonts w:ascii="Arial" w:hAnsi="Arial" w:cs="Arial"/>
          <w:color w:val="010000"/>
          <w:sz w:val="20"/>
        </w:rPr>
        <w:t>audit company</w:t>
      </w:r>
      <w:r w:rsidRPr="003C5246">
        <w:rPr>
          <w:rFonts w:ascii="Arial" w:hAnsi="Arial" w:cs="Arial"/>
          <w:color w:val="010000"/>
          <w:sz w:val="20"/>
        </w:rPr>
        <w:t xml:space="preserve"> on the list of </w:t>
      </w:r>
      <w:r w:rsidR="003C5246" w:rsidRPr="003C5246">
        <w:rPr>
          <w:rFonts w:ascii="Arial" w:hAnsi="Arial" w:cs="Arial"/>
          <w:color w:val="010000"/>
          <w:sz w:val="20"/>
        </w:rPr>
        <w:t>audit company</w:t>
      </w:r>
      <w:r w:rsidRPr="003C5246">
        <w:rPr>
          <w:rFonts w:ascii="Arial" w:hAnsi="Arial" w:cs="Arial"/>
          <w:color w:val="010000"/>
          <w:sz w:val="20"/>
        </w:rPr>
        <w:t xml:space="preserve">s approved by the State Securities Commission to audit public companies to provide audit services and review the Company's </w:t>
      </w:r>
      <w:r w:rsidR="003C5246" w:rsidRPr="003C5246">
        <w:rPr>
          <w:rFonts w:ascii="Arial" w:hAnsi="Arial" w:cs="Arial"/>
          <w:color w:val="010000"/>
          <w:sz w:val="20"/>
        </w:rPr>
        <w:t>Financial Statements</w:t>
      </w:r>
      <w:r w:rsidRPr="003C5246">
        <w:rPr>
          <w:rFonts w:ascii="Arial" w:hAnsi="Arial" w:cs="Arial"/>
          <w:color w:val="010000"/>
          <w:sz w:val="20"/>
        </w:rPr>
        <w:t xml:space="preserve"> 2024,</w:t>
      </w:r>
      <w:r w:rsidR="00FE6EE9" w:rsidRPr="003C5246">
        <w:rPr>
          <w:rFonts w:ascii="Arial" w:hAnsi="Arial" w:cs="Arial"/>
          <w:color w:val="010000"/>
          <w:sz w:val="20"/>
        </w:rPr>
        <w:t xml:space="preserve"> </w:t>
      </w:r>
      <w:r w:rsidRPr="003C5246">
        <w:rPr>
          <w:rFonts w:ascii="Arial" w:hAnsi="Arial" w:cs="Arial"/>
          <w:color w:val="010000"/>
          <w:sz w:val="20"/>
        </w:rPr>
        <w:t>ensure quality, efficiency with reasonable cost and comply with the provisions of law.</w:t>
      </w:r>
    </w:p>
    <w:p w14:paraId="11068916"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Approve the remuneration settlement for the Board of Directors and Supervisory Board, bonus for Executive Board in 2024</w:t>
      </w:r>
    </w:p>
    <w:p w14:paraId="42C5CB36" w14:textId="77777777" w:rsidR="001C2E76" w:rsidRPr="003C5246" w:rsidRDefault="000C429C" w:rsidP="00FE6EE9">
      <w:pPr>
        <w:numPr>
          <w:ilvl w:val="0"/>
          <w:numId w:val="2"/>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3C5246">
        <w:rPr>
          <w:rFonts w:ascii="Arial" w:hAnsi="Arial" w:cs="Arial"/>
          <w:color w:val="010000"/>
          <w:sz w:val="20"/>
        </w:rPr>
        <w:t>Remuneration for the Board of Directors and the Supervisory Board was 2% of profit after tax for the profit in the plan.</w:t>
      </w:r>
    </w:p>
    <w:p w14:paraId="3911B5A1" w14:textId="77777777" w:rsidR="001C2E76" w:rsidRPr="003C5246" w:rsidRDefault="000C429C" w:rsidP="00FE6EE9">
      <w:pPr>
        <w:numPr>
          <w:ilvl w:val="0"/>
          <w:numId w:val="2"/>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3C5246">
        <w:rPr>
          <w:rFonts w:ascii="Arial" w:hAnsi="Arial" w:cs="Arial"/>
          <w:color w:val="010000"/>
          <w:sz w:val="20"/>
        </w:rPr>
        <w:t>Remuneration for the Board of Directors and Supervisory Board was 3% of profit after tax for the profit exceeding the plan.</w:t>
      </w:r>
    </w:p>
    <w:p w14:paraId="7771A140" w14:textId="77777777" w:rsidR="001C2E76" w:rsidRPr="003C5246" w:rsidRDefault="000C429C" w:rsidP="00FE6EE9">
      <w:pPr>
        <w:numPr>
          <w:ilvl w:val="0"/>
          <w:numId w:val="2"/>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3C5246">
        <w:rPr>
          <w:rFonts w:ascii="Arial" w:hAnsi="Arial" w:cs="Arial"/>
          <w:color w:val="010000"/>
          <w:sz w:val="20"/>
        </w:rPr>
        <w:t>Bonus for the Executive Board was 1% of profit after tax for the profit in the plan; 3% of profit after tax for the profit exceeding the plan.</w:t>
      </w:r>
    </w:p>
    <w:p w14:paraId="1561B407"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Article 9: Approve the amendment of the Charter of organization and operation of the Company, specifically as follows:</w:t>
      </w:r>
    </w:p>
    <w:p w14:paraId="60443D6B" w14:textId="77777777" w:rsidR="001C2E76" w:rsidRPr="003C5246" w:rsidRDefault="000C429C" w:rsidP="00FE6EE9">
      <w:pPr>
        <w:numPr>
          <w:ilvl w:val="0"/>
          <w:numId w:val="2"/>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3C5246">
        <w:rPr>
          <w:rFonts w:ascii="Arial" w:hAnsi="Arial" w:cs="Arial"/>
          <w:color w:val="010000"/>
          <w:sz w:val="20"/>
        </w:rPr>
        <w:t>Amend the Charter of organization and operation of the Company in accordance with the provisions of law and the actual situation of production and business activities of the Company with amended and supplemented terms according to the attached table.</w:t>
      </w:r>
    </w:p>
    <w:p w14:paraId="34F519A6" w14:textId="5B076666" w:rsidR="001C2E76" w:rsidRPr="003C5246" w:rsidRDefault="000C429C" w:rsidP="00FE6EE9">
      <w:pPr>
        <w:numPr>
          <w:ilvl w:val="0"/>
          <w:numId w:val="2"/>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Content of authorization: The </w:t>
      </w:r>
      <w:r w:rsidR="003C5246" w:rsidRPr="003C5246">
        <w:rPr>
          <w:rFonts w:ascii="Arial" w:hAnsi="Arial" w:cs="Arial"/>
          <w:color w:val="010000"/>
          <w:sz w:val="20"/>
        </w:rPr>
        <w:t>General Meeting of Shareholders</w:t>
      </w:r>
      <w:r w:rsidRPr="003C5246">
        <w:rPr>
          <w:rFonts w:ascii="Arial" w:hAnsi="Arial" w:cs="Arial"/>
          <w:color w:val="010000"/>
          <w:sz w:val="20"/>
        </w:rPr>
        <w:t xml:space="preserve"> authorized the Board of Directors based on the contents approved by the </w:t>
      </w:r>
      <w:r w:rsidR="003C5246" w:rsidRPr="003C5246">
        <w:rPr>
          <w:rFonts w:ascii="Arial" w:hAnsi="Arial" w:cs="Arial"/>
          <w:color w:val="010000"/>
          <w:sz w:val="20"/>
        </w:rPr>
        <w:t>General Meeting of Shareholders</w:t>
      </w:r>
      <w:r w:rsidRPr="003C5246">
        <w:rPr>
          <w:rFonts w:ascii="Arial" w:hAnsi="Arial" w:cs="Arial"/>
          <w:color w:val="010000"/>
          <w:sz w:val="20"/>
        </w:rPr>
        <w:t xml:space="preserve"> to complete the Charter of organization and operation of Vinaconex Xuan Mai Concrete &amp; Construction JSC, ensuring compliance with the law and in accordance with the actual situation of the Company.</w:t>
      </w:r>
    </w:p>
    <w:p w14:paraId="3DD30C70"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Article 10: Approve the result of the election of the Board of Directors and the Supervisory Board in </w:t>
      </w:r>
      <w:r w:rsidRPr="003C5246">
        <w:rPr>
          <w:rFonts w:ascii="Arial" w:hAnsi="Arial" w:cs="Arial"/>
          <w:color w:val="010000"/>
          <w:sz w:val="20"/>
        </w:rPr>
        <w:lastRenderedPageBreak/>
        <w:t>the term of 2024 - 2029.</w:t>
      </w:r>
    </w:p>
    <w:p w14:paraId="6490EBDE" w14:textId="2E7BC5BB"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Based on the results of vote counting and the Election Regulations approved by the </w:t>
      </w:r>
      <w:r w:rsidR="003C5246" w:rsidRPr="003C5246">
        <w:rPr>
          <w:rFonts w:ascii="Arial" w:hAnsi="Arial" w:cs="Arial"/>
          <w:color w:val="010000"/>
          <w:sz w:val="20"/>
        </w:rPr>
        <w:t>General Meeting of Shareholders</w:t>
      </w:r>
      <w:r w:rsidRPr="003C5246">
        <w:rPr>
          <w:rFonts w:ascii="Arial" w:hAnsi="Arial" w:cs="Arial"/>
          <w:color w:val="010000"/>
          <w:sz w:val="20"/>
        </w:rPr>
        <w:t>, Mr./Ms. were elected as members of the Board of Directors and Supervisory Board for the 2024 - 2029 term as follows:</w:t>
      </w:r>
    </w:p>
    <w:p w14:paraId="26B592EB" w14:textId="77777777" w:rsidR="001C2E76" w:rsidRPr="003C5246" w:rsidRDefault="000C429C" w:rsidP="00FE6EE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The list of candidates elected to the Board of Directors includes 5 members:</w:t>
      </w:r>
    </w:p>
    <w:p w14:paraId="1ED21119" w14:textId="77777777" w:rsidR="001C2E76" w:rsidRPr="003C5246" w:rsidRDefault="000C429C" w:rsidP="00FE6EE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 xml:space="preserve"> Mr. Bui Khac Son</w:t>
      </w:r>
    </w:p>
    <w:p w14:paraId="7BE6A9BF" w14:textId="77777777" w:rsidR="001C2E76" w:rsidRPr="003C5246" w:rsidRDefault="000C429C" w:rsidP="00FE6EE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Ms. Dinh Thi Thanh Ha</w:t>
      </w:r>
    </w:p>
    <w:p w14:paraId="5B0AF108" w14:textId="77777777" w:rsidR="001C2E76" w:rsidRPr="003C5246" w:rsidRDefault="000C429C" w:rsidP="00FE6EE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Ms. Do Thi Hue</w:t>
      </w:r>
    </w:p>
    <w:p w14:paraId="4DCDA86E" w14:textId="77777777" w:rsidR="001C2E76" w:rsidRPr="003C5246" w:rsidRDefault="000C429C" w:rsidP="00FE6EE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Mr. Nguyen Duc Quang</w:t>
      </w:r>
    </w:p>
    <w:p w14:paraId="65C36CB5" w14:textId="77777777" w:rsidR="001C2E76" w:rsidRPr="003C5246" w:rsidRDefault="000C429C" w:rsidP="00FE6EE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5246">
        <w:rPr>
          <w:rFonts w:ascii="Arial" w:hAnsi="Arial" w:cs="Arial"/>
          <w:color w:val="010000"/>
          <w:sz w:val="20"/>
        </w:rPr>
        <w:t>Ms. Pham Thi Hien</w:t>
      </w:r>
    </w:p>
    <w:p w14:paraId="152E5969" w14:textId="77777777" w:rsidR="001C2E76" w:rsidRPr="003C5246" w:rsidRDefault="000C429C" w:rsidP="00FE6EE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The list of candidates elected to the Supervisory Board includes 3 members:</w:t>
      </w:r>
    </w:p>
    <w:p w14:paraId="2E28DC13" w14:textId="77777777" w:rsidR="001C2E76" w:rsidRPr="003C5246" w:rsidRDefault="000C429C" w:rsidP="00FE6EE9">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5246">
        <w:rPr>
          <w:rFonts w:ascii="Arial" w:hAnsi="Arial" w:cs="Arial"/>
          <w:color w:val="010000"/>
          <w:sz w:val="20"/>
        </w:rPr>
        <w:t xml:space="preserve">Mr. Nguyen Minh Duc </w:t>
      </w:r>
    </w:p>
    <w:p w14:paraId="708F90F4" w14:textId="77777777" w:rsidR="001C2E76" w:rsidRPr="003C5246" w:rsidRDefault="000C429C" w:rsidP="00FE6EE9">
      <w:pPr>
        <w:numPr>
          <w:ilvl w:val="0"/>
          <w:numId w:val="5"/>
        </w:numPr>
        <w:pBdr>
          <w:top w:val="nil"/>
          <w:left w:val="nil"/>
          <w:bottom w:val="nil"/>
          <w:right w:val="nil"/>
          <w:between w:val="nil"/>
        </w:pBdr>
        <w:tabs>
          <w:tab w:val="left" w:pos="432"/>
          <w:tab w:val="left" w:pos="1128"/>
        </w:tabs>
        <w:spacing w:after="120" w:line="360" w:lineRule="auto"/>
        <w:rPr>
          <w:rFonts w:ascii="Arial" w:eastAsia="Arial" w:hAnsi="Arial" w:cs="Arial"/>
          <w:color w:val="010000"/>
          <w:sz w:val="20"/>
          <w:szCs w:val="20"/>
        </w:rPr>
      </w:pPr>
      <w:r w:rsidRPr="003C5246">
        <w:rPr>
          <w:rFonts w:ascii="Arial" w:hAnsi="Arial" w:cs="Arial"/>
          <w:color w:val="010000"/>
          <w:sz w:val="20"/>
        </w:rPr>
        <w:t>Ms. Pham My Hanh</w:t>
      </w:r>
    </w:p>
    <w:p w14:paraId="4EB8C87E" w14:textId="77777777" w:rsidR="001C2E76" w:rsidRPr="003C5246" w:rsidRDefault="000C429C" w:rsidP="00FE6EE9">
      <w:pPr>
        <w:numPr>
          <w:ilvl w:val="0"/>
          <w:numId w:val="5"/>
        </w:numPr>
        <w:pBdr>
          <w:top w:val="nil"/>
          <w:left w:val="nil"/>
          <w:bottom w:val="nil"/>
          <w:right w:val="nil"/>
          <w:between w:val="nil"/>
        </w:pBdr>
        <w:tabs>
          <w:tab w:val="left" w:pos="432"/>
          <w:tab w:val="left" w:pos="1128"/>
        </w:tabs>
        <w:spacing w:after="120" w:line="360" w:lineRule="auto"/>
        <w:rPr>
          <w:rFonts w:ascii="Arial" w:eastAsia="Arial" w:hAnsi="Arial" w:cs="Arial"/>
          <w:color w:val="010000"/>
          <w:sz w:val="20"/>
          <w:szCs w:val="20"/>
        </w:rPr>
      </w:pPr>
      <w:r w:rsidRPr="003C5246">
        <w:rPr>
          <w:rFonts w:ascii="Arial" w:hAnsi="Arial" w:cs="Arial"/>
          <w:color w:val="010000"/>
          <w:sz w:val="20"/>
        </w:rPr>
        <w:t>Ms. Pham Thi Thanh Huyen</w:t>
      </w:r>
    </w:p>
    <w:p w14:paraId="21F05A53"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Article 11: Terms of enforcement:</w:t>
      </w:r>
    </w:p>
    <w:p w14:paraId="1CC5DFBF" w14:textId="77777777"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This General Mandate took effect from April 20, 2024.</w:t>
      </w:r>
    </w:p>
    <w:p w14:paraId="6E2561B3" w14:textId="61D96ED6"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r w:rsidRPr="003C5246">
        <w:rPr>
          <w:rFonts w:ascii="Arial" w:hAnsi="Arial" w:cs="Arial"/>
          <w:color w:val="010000"/>
          <w:sz w:val="20"/>
        </w:rPr>
        <w:t xml:space="preserve">The </w:t>
      </w:r>
      <w:r w:rsidR="003C5246" w:rsidRPr="003C5246">
        <w:rPr>
          <w:rFonts w:ascii="Arial" w:hAnsi="Arial" w:cs="Arial"/>
          <w:color w:val="010000"/>
          <w:sz w:val="20"/>
        </w:rPr>
        <w:t>General Meeting of Shareholders</w:t>
      </w:r>
      <w:r w:rsidRPr="003C5246">
        <w:rPr>
          <w:rFonts w:ascii="Arial" w:hAnsi="Arial" w:cs="Arial"/>
          <w:color w:val="010000"/>
          <w:sz w:val="20"/>
        </w:rPr>
        <w:t xml:space="preserve"> assigned the Board of Directors to implement contents approved at the General Meeting, ensuring the best interests of the Company and its shareholders, in accordance with the Company’s Charter and provisions of law.</w:t>
      </w:r>
    </w:p>
    <w:p w14:paraId="2B21FC86" w14:textId="5A991235" w:rsidR="001C2E76" w:rsidRPr="003C5246" w:rsidRDefault="000C429C" w:rsidP="00FE6EE9">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3C5246">
        <w:rPr>
          <w:rFonts w:ascii="Arial" w:hAnsi="Arial" w:cs="Arial"/>
          <w:color w:val="010000"/>
          <w:sz w:val="20"/>
        </w:rPr>
        <w:t>The Annual General Mandate dated April 20, 2024 of Vinaconex Xuan Mai Concrete &amp; Construction JSC was fully approved at the Meeting at 11.45</w:t>
      </w:r>
      <w:r w:rsidR="003C5246" w:rsidRPr="003C5246">
        <w:rPr>
          <w:rFonts w:ascii="Arial" w:hAnsi="Arial" w:cs="Arial"/>
          <w:color w:val="010000"/>
          <w:sz w:val="20"/>
        </w:rPr>
        <w:t xml:space="preserve"> a.m.</w:t>
      </w:r>
      <w:r w:rsidRPr="003C5246">
        <w:rPr>
          <w:rFonts w:ascii="Arial" w:hAnsi="Arial" w:cs="Arial"/>
          <w:color w:val="010000"/>
          <w:sz w:val="20"/>
        </w:rPr>
        <w:t xml:space="preserve"> of the same day.</w:t>
      </w:r>
    </w:p>
    <w:sectPr w:rsidR="001C2E76" w:rsidRPr="003C5246" w:rsidSect="00FE6EE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277"/>
    <w:multiLevelType w:val="multilevel"/>
    <w:tmpl w:val="28FA69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31BC8"/>
    <w:multiLevelType w:val="multilevel"/>
    <w:tmpl w:val="DCC652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15472B"/>
    <w:multiLevelType w:val="multilevel"/>
    <w:tmpl w:val="F5CACB7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D80A25"/>
    <w:multiLevelType w:val="multilevel"/>
    <w:tmpl w:val="E22C46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D90BCC"/>
    <w:multiLevelType w:val="multilevel"/>
    <w:tmpl w:val="DD92E66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A53B75"/>
    <w:multiLevelType w:val="multilevel"/>
    <w:tmpl w:val="7E564F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A77503"/>
    <w:multiLevelType w:val="multilevel"/>
    <w:tmpl w:val="68363B34"/>
    <w:lvl w:ilvl="0">
      <w:start w:val="5"/>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056ACD"/>
    <w:multiLevelType w:val="multilevel"/>
    <w:tmpl w:val="2CA0762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B9636AA"/>
    <w:multiLevelType w:val="hybridMultilevel"/>
    <w:tmpl w:val="106661BE"/>
    <w:lvl w:ilvl="0" w:tplc="D31EB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E2A69"/>
    <w:multiLevelType w:val="multilevel"/>
    <w:tmpl w:val="546E96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B3044E6"/>
    <w:multiLevelType w:val="multilevel"/>
    <w:tmpl w:val="BB0077D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9"/>
  </w:num>
  <w:num w:numId="3">
    <w:abstractNumId w:val="5"/>
  </w:num>
  <w:num w:numId="4">
    <w:abstractNumId w:val="0"/>
  </w:num>
  <w:num w:numId="5">
    <w:abstractNumId w:val="1"/>
  </w:num>
  <w:num w:numId="6">
    <w:abstractNumId w:val="4"/>
  </w:num>
  <w:num w:numId="7">
    <w:abstractNumId w:val="7"/>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76"/>
    <w:rsid w:val="000C429C"/>
    <w:rsid w:val="001C2E76"/>
    <w:rsid w:val="003C5246"/>
    <w:rsid w:val="00A73C7D"/>
    <w:rsid w:val="00EC670A"/>
    <w:rsid w:val="00FE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D10F4"/>
  <w15:docId w15:val="{9CDB7DDB-3DAA-48D4-AFD5-4E6E3B5C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EBEBEB"/>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271" w:lineRule="auto"/>
    </w:pPr>
    <w:rPr>
      <w:rFonts w:ascii="Times New Roman" w:eastAsia="Times New Roman" w:hAnsi="Times New Roman" w:cs="Times New Roman"/>
    </w:rPr>
  </w:style>
  <w:style w:type="paragraph" w:customStyle="1" w:styleId="Khc0">
    <w:name w:val="Khác"/>
    <w:basedOn w:val="Normal"/>
    <w:link w:val="Khc"/>
    <w:pPr>
      <w:spacing w:line="276"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EBEBEB"/>
      <w:sz w:val="32"/>
      <w:szCs w:val="32"/>
    </w:rPr>
  </w:style>
  <w:style w:type="paragraph" w:customStyle="1" w:styleId="Vnbnnidung20">
    <w:name w:val="Văn bản nội dung (2)"/>
    <w:basedOn w:val="Normal"/>
    <w:link w:val="Vnbnnidung2"/>
    <w:pPr>
      <w:ind w:firstLine="780"/>
    </w:pPr>
    <w:rPr>
      <w:rFonts w:ascii="Times New Roman" w:eastAsia="Times New Roman" w:hAnsi="Times New Roman" w:cs="Times New Roman"/>
      <w:i/>
      <w:iCs/>
      <w:sz w:val="20"/>
      <w:szCs w:val="20"/>
    </w:rPr>
  </w:style>
  <w:style w:type="paragraph" w:customStyle="1" w:styleId="Tiu10">
    <w:name w:val="Tiêu đề #1"/>
    <w:basedOn w:val="Normal"/>
    <w:link w:val="Tiu1"/>
    <w:pPr>
      <w:spacing w:line="290" w:lineRule="auto"/>
      <w:ind w:left="260" w:firstLine="2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61208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1O87V0XsmkiLgeyAveHz2E+mdA==">CgMxLjAyCGguZ2pkZ3hzOAByITFGU3lobnZhUHBDUEkwNVRJNld2OHpKTFZpYUJXZk1fUQ==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1230</Words>
  <Characters>6561</Characters>
  <Application>Microsoft Office Word</Application>
  <DocSecurity>0</DocSecurity>
  <Lines>273</Lines>
  <Paragraphs>251</Paragraphs>
  <ScaleCrop>false</ScaleCrop>
  <Company>Microsoft</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2024-04-25T03:54:00Z</dcterms:created>
  <dcterms:modified xsi:type="dcterms:W3CDTF">2024-04-26T02:53:00Z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9171c8c54818322e95f0f5153664b48c7e45ba814b79b8f04e8b96b65f5425dd</vt:lpwstr>
  </property>
</Properties>
</file>