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8A70"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b/>
          <w:color w:val="010000"/>
          <w:sz w:val="20"/>
          <w:szCs w:val="20"/>
        </w:rPr>
      </w:pPr>
      <w:r w:rsidRPr="005A325E">
        <w:rPr>
          <w:rFonts w:ascii="Arial" w:hAnsi="Arial" w:cs="Arial"/>
          <w:b/>
          <w:color w:val="010000"/>
          <w:sz w:val="20"/>
        </w:rPr>
        <w:t>AAV</w:t>
      </w:r>
      <w:r w:rsidRPr="005A325E">
        <w:rPr>
          <w:rFonts w:ascii="Arial" w:hAnsi="Arial" w:cs="Arial"/>
          <w:b/>
          <w:color w:val="010000"/>
          <w:sz w:val="20"/>
        </w:rPr>
        <w:t>:</w:t>
      </w:r>
      <w:r w:rsidRPr="005A325E">
        <w:rPr>
          <w:rFonts w:ascii="Arial" w:hAnsi="Arial" w:cs="Arial"/>
          <w:b/>
          <w:color w:val="010000"/>
          <w:sz w:val="20"/>
        </w:rPr>
        <w:t xml:space="preserve"> Report on changes in the plan of capital use</w:t>
      </w:r>
    </w:p>
    <w:p w14:paraId="33A0B41E"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 xml:space="preserve">On </w:t>
      </w:r>
      <w:r w:rsidRPr="005A325E">
        <w:rPr>
          <w:rFonts w:ascii="Arial" w:hAnsi="Arial" w:cs="Arial"/>
          <w:color w:val="010000"/>
          <w:sz w:val="20"/>
        </w:rPr>
        <w:t>March</w:t>
      </w:r>
      <w:r w:rsidRPr="005A325E">
        <w:rPr>
          <w:rFonts w:ascii="Arial" w:hAnsi="Arial" w:cs="Arial"/>
          <w:color w:val="010000"/>
          <w:sz w:val="20"/>
        </w:rPr>
        <w:t xml:space="preserve"> </w:t>
      </w:r>
      <w:r w:rsidRPr="005A325E">
        <w:rPr>
          <w:rFonts w:ascii="Arial" w:hAnsi="Arial" w:cs="Arial"/>
          <w:color w:val="010000"/>
          <w:sz w:val="20"/>
        </w:rPr>
        <w:t>28</w:t>
      </w:r>
      <w:r w:rsidRPr="005A325E">
        <w:rPr>
          <w:rFonts w:ascii="Arial" w:hAnsi="Arial" w:cs="Arial"/>
          <w:color w:val="010000"/>
          <w:sz w:val="20"/>
        </w:rPr>
        <w:t xml:space="preserve">, </w:t>
      </w:r>
      <w:r w:rsidRPr="005A325E">
        <w:rPr>
          <w:rFonts w:ascii="Arial" w:hAnsi="Arial" w:cs="Arial"/>
          <w:color w:val="010000"/>
          <w:sz w:val="20"/>
        </w:rPr>
        <w:t>2024</w:t>
      </w:r>
      <w:r w:rsidRPr="005A325E">
        <w:rPr>
          <w:rFonts w:ascii="Arial" w:hAnsi="Arial" w:cs="Arial"/>
          <w:color w:val="010000"/>
          <w:sz w:val="20"/>
        </w:rPr>
        <w:t xml:space="preserve">, AAV Group JSC announced Report No. </w:t>
      </w:r>
      <w:r w:rsidRPr="005A325E">
        <w:rPr>
          <w:rFonts w:ascii="Arial" w:hAnsi="Arial" w:cs="Arial"/>
          <w:color w:val="010000"/>
          <w:sz w:val="20"/>
        </w:rPr>
        <w:t>2803</w:t>
      </w:r>
      <w:r w:rsidRPr="005A325E">
        <w:rPr>
          <w:rFonts w:ascii="Arial" w:hAnsi="Arial" w:cs="Arial"/>
          <w:color w:val="010000"/>
          <w:sz w:val="20"/>
        </w:rPr>
        <w:t>/</w:t>
      </w:r>
      <w:r w:rsidRPr="005A325E">
        <w:rPr>
          <w:rFonts w:ascii="Arial" w:hAnsi="Arial" w:cs="Arial"/>
          <w:color w:val="010000"/>
          <w:sz w:val="20"/>
        </w:rPr>
        <w:t>2024</w:t>
      </w:r>
      <w:r w:rsidRPr="005A325E">
        <w:rPr>
          <w:rFonts w:ascii="Arial" w:hAnsi="Arial" w:cs="Arial"/>
          <w:color w:val="010000"/>
          <w:sz w:val="20"/>
        </w:rPr>
        <w:t>/BC-AAV on changing the plan on using capital/proceeds obtained from the offering/issuance as follows</w:t>
      </w:r>
      <w:r w:rsidRPr="005A325E">
        <w:rPr>
          <w:rFonts w:ascii="Arial" w:hAnsi="Arial" w:cs="Arial"/>
          <w:color w:val="010000"/>
          <w:sz w:val="20"/>
        </w:rPr>
        <w:t>:</w:t>
      </w:r>
    </w:p>
    <w:p w14:paraId="372ABD0A" w14:textId="77777777" w:rsidR="00A826D8" w:rsidRPr="005A325E" w:rsidRDefault="005A325E" w:rsidP="005A325E">
      <w:pPr>
        <w:numPr>
          <w:ilvl w:val="0"/>
          <w:numId w:val="9"/>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5A325E">
        <w:rPr>
          <w:rFonts w:ascii="Arial" w:hAnsi="Arial" w:cs="Arial"/>
          <w:color w:val="010000"/>
          <w:sz w:val="20"/>
        </w:rPr>
        <w:t xml:space="preserve"> The plan to use the capital/proceeds from the offering/issuance</w:t>
      </w:r>
      <w:r w:rsidRPr="005A325E">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
        <w:gridCol w:w="3839"/>
        <w:gridCol w:w="2188"/>
        <w:gridCol w:w="2361"/>
      </w:tblGrid>
      <w:tr w:rsidR="00A826D8" w:rsidRPr="005A325E" w14:paraId="27DFD15E" w14:textId="77777777" w:rsidTr="005A325E">
        <w:tc>
          <w:tcPr>
            <w:tcW w:w="349" w:type="pct"/>
            <w:shd w:val="clear" w:color="auto" w:fill="auto"/>
            <w:tcMar>
              <w:top w:w="0" w:type="dxa"/>
              <w:bottom w:w="0" w:type="dxa"/>
            </w:tcMar>
            <w:vAlign w:val="center"/>
          </w:tcPr>
          <w:p w14:paraId="7DA2EFD0"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No.</w:t>
            </w:r>
          </w:p>
        </w:tc>
        <w:tc>
          <w:tcPr>
            <w:tcW w:w="2129" w:type="pct"/>
            <w:shd w:val="clear" w:color="auto" w:fill="auto"/>
            <w:tcMar>
              <w:top w:w="0" w:type="dxa"/>
              <w:bottom w:w="0" w:type="dxa"/>
            </w:tcMar>
            <w:vAlign w:val="center"/>
          </w:tcPr>
          <w:p w14:paraId="6ED6EDD4"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Use plan</w:t>
            </w:r>
          </w:p>
        </w:tc>
        <w:tc>
          <w:tcPr>
            <w:tcW w:w="1213" w:type="pct"/>
            <w:shd w:val="clear" w:color="auto" w:fill="auto"/>
            <w:tcMar>
              <w:top w:w="0" w:type="dxa"/>
              <w:bottom w:w="0" w:type="dxa"/>
            </w:tcMar>
            <w:vAlign w:val="center"/>
          </w:tcPr>
          <w:p w14:paraId="466ED42D"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Expected al</w:t>
            </w:r>
            <w:r w:rsidRPr="005A325E">
              <w:rPr>
                <w:rFonts w:ascii="Arial" w:hAnsi="Arial" w:cs="Arial"/>
                <w:color w:val="010000"/>
                <w:sz w:val="20"/>
              </w:rPr>
              <w:t>location of proceeds from the issuance</w:t>
            </w:r>
          </w:p>
        </w:tc>
        <w:tc>
          <w:tcPr>
            <w:tcW w:w="1309" w:type="pct"/>
            <w:shd w:val="clear" w:color="auto" w:fill="auto"/>
            <w:tcMar>
              <w:top w:w="0" w:type="dxa"/>
              <w:bottom w:w="0" w:type="dxa"/>
            </w:tcMar>
            <w:vAlign w:val="center"/>
          </w:tcPr>
          <w:p w14:paraId="24CEAD6C"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Expected use progress of proceeds from the issuance</w:t>
            </w:r>
          </w:p>
        </w:tc>
      </w:tr>
      <w:tr w:rsidR="00A826D8" w:rsidRPr="005A325E" w14:paraId="592B29A8" w14:textId="77777777" w:rsidTr="005A325E">
        <w:tc>
          <w:tcPr>
            <w:tcW w:w="349" w:type="pct"/>
            <w:shd w:val="clear" w:color="auto" w:fill="auto"/>
            <w:tcMar>
              <w:top w:w="0" w:type="dxa"/>
              <w:bottom w:w="0" w:type="dxa"/>
            </w:tcMar>
            <w:vAlign w:val="center"/>
          </w:tcPr>
          <w:p w14:paraId="506FC16A"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1</w:t>
            </w:r>
          </w:p>
        </w:tc>
        <w:tc>
          <w:tcPr>
            <w:tcW w:w="2129" w:type="pct"/>
            <w:shd w:val="clear" w:color="auto" w:fill="auto"/>
            <w:tcMar>
              <w:top w:w="0" w:type="dxa"/>
              <w:bottom w:w="0" w:type="dxa"/>
            </w:tcMar>
            <w:vAlign w:val="center"/>
          </w:tcPr>
          <w:p w14:paraId="6A5BD72C" w14:textId="31BCF6EC"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Invest in buying the shares from shareholders of Cô</w:t>
            </w:r>
            <w:r w:rsidRPr="005A325E">
              <w:rPr>
                <w:rFonts w:ascii="Arial" w:hAnsi="Arial" w:cs="Arial"/>
                <w:color w:val="010000"/>
                <w:sz w:val="20"/>
              </w:rPr>
              <w:t>ng ty c</w:t>
            </w:r>
            <w:r w:rsidRPr="005A325E">
              <w:rPr>
                <w:rFonts w:ascii="Arial" w:hAnsi="Arial" w:cs="Arial"/>
                <w:color w:val="010000"/>
                <w:sz w:val="20"/>
              </w:rPr>
              <w:t>ổ</w:t>
            </w:r>
            <w:r w:rsidRPr="005A325E">
              <w:rPr>
                <w:rFonts w:ascii="Arial" w:hAnsi="Arial" w:cs="Arial"/>
                <w:color w:val="010000"/>
                <w:sz w:val="20"/>
              </w:rPr>
              <w:t xml:space="preserve"> ph</w:t>
            </w:r>
            <w:r w:rsidRPr="005A325E">
              <w:rPr>
                <w:rFonts w:ascii="Arial" w:hAnsi="Arial" w:cs="Arial"/>
                <w:color w:val="010000"/>
                <w:sz w:val="20"/>
              </w:rPr>
              <w:t>ầ</w:t>
            </w:r>
            <w:r w:rsidRPr="005A325E">
              <w:rPr>
                <w:rFonts w:ascii="Arial" w:hAnsi="Arial" w:cs="Arial"/>
                <w:color w:val="010000"/>
                <w:sz w:val="20"/>
              </w:rPr>
              <w:t>n Việ</w:t>
            </w:r>
            <w:r w:rsidRPr="005A325E">
              <w:rPr>
                <w:rFonts w:ascii="Arial" w:hAnsi="Arial" w:cs="Arial"/>
                <w:color w:val="010000"/>
                <w:sz w:val="20"/>
              </w:rPr>
              <w:t xml:space="preserve">t Tiên Sơn (tentatively translated as Viet Tien Son JSC) to account for a controlling ratio of </w:t>
            </w:r>
            <w:r w:rsidRPr="005A325E">
              <w:rPr>
                <w:rFonts w:ascii="Arial" w:hAnsi="Arial" w:cs="Arial"/>
                <w:color w:val="010000"/>
                <w:sz w:val="20"/>
              </w:rPr>
              <w:t>95</w:t>
            </w:r>
            <w:r w:rsidRPr="005A325E">
              <w:rPr>
                <w:rFonts w:ascii="Arial" w:hAnsi="Arial" w:cs="Arial"/>
                <w:color w:val="010000"/>
                <w:sz w:val="20"/>
              </w:rPr>
              <w:t>% of the Charter capital</w:t>
            </w:r>
          </w:p>
        </w:tc>
        <w:tc>
          <w:tcPr>
            <w:tcW w:w="1213" w:type="pct"/>
            <w:shd w:val="clear" w:color="auto" w:fill="auto"/>
            <w:tcMar>
              <w:top w:w="0" w:type="dxa"/>
              <w:bottom w:w="0" w:type="dxa"/>
            </w:tcMar>
            <w:vAlign w:val="center"/>
          </w:tcPr>
          <w:p w14:paraId="605AA0C1"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64,220,000,000</w:t>
            </w:r>
          </w:p>
        </w:tc>
        <w:tc>
          <w:tcPr>
            <w:tcW w:w="1309" w:type="pct"/>
            <w:shd w:val="clear" w:color="auto" w:fill="auto"/>
            <w:tcMar>
              <w:top w:w="0" w:type="dxa"/>
              <w:bottom w:w="0" w:type="dxa"/>
            </w:tcMar>
            <w:vAlign w:val="center"/>
          </w:tcPr>
          <w:p w14:paraId="0FD5E9ED" w14:textId="77777777" w:rsidR="00A826D8" w:rsidRPr="005A325E" w:rsidRDefault="005A325E" w:rsidP="005A325E">
            <w:pPr>
              <w:numPr>
                <w:ilvl w:val="0"/>
                <w:numId w:val="1"/>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64,220,000,000</w:t>
            </w:r>
          </w:p>
          <w:p w14:paraId="1C7BEC76" w14:textId="77777777" w:rsidR="00A826D8" w:rsidRPr="005A325E" w:rsidRDefault="005A325E" w:rsidP="005A325E">
            <w:pPr>
              <w:numPr>
                <w:ilvl w:val="0"/>
                <w:numId w:val="1"/>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w:t>
            </w:r>
            <w:r w:rsidRPr="005A325E">
              <w:rPr>
                <w:rFonts w:ascii="Arial" w:hAnsi="Arial" w:cs="Arial"/>
                <w:color w:val="010000"/>
                <w:sz w:val="20"/>
              </w:rPr>
              <w:t>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2021</w:t>
            </w:r>
            <w:r w:rsidRPr="005A325E">
              <w:rPr>
                <w:rFonts w:ascii="Arial" w:hAnsi="Arial" w:cs="Arial"/>
                <w:color w:val="010000"/>
                <w:sz w:val="20"/>
              </w:rPr>
              <w:t xml:space="preserve"> - Q</w:t>
            </w:r>
            <w:r w:rsidRPr="005A325E">
              <w:rPr>
                <w:rFonts w:ascii="Arial" w:hAnsi="Arial" w:cs="Arial"/>
                <w:color w:val="010000"/>
                <w:sz w:val="20"/>
              </w:rPr>
              <w:t>2</w:t>
            </w:r>
            <w:r w:rsidRPr="005A325E">
              <w:rPr>
                <w:rFonts w:ascii="Arial" w:hAnsi="Arial" w:cs="Arial"/>
                <w:color w:val="010000"/>
                <w:sz w:val="20"/>
              </w:rPr>
              <w:t>/</w:t>
            </w:r>
            <w:r w:rsidRPr="005A325E">
              <w:rPr>
                <w:rFonts w:ascii="Arial" w:hAnsi="Arial" w:cs="Arial"/>
                <w:color w:val="010000"/>
                <w:sz w:val="20"/>
              </w:rPr>
              <w:t>2022</w:t>
            </w:r>
          </w:p>
        </w:tc>
      </w:tr>
      <w:tr w:rsidR="00A826D8" w:rsidRPr="005A325E" w14:paraId="66A5D629" w14:textId="77777777" w:rsidTr="005A325E">
        <w:tc>
          <w:tcPr>
            <w:tcW w:w="349" w:type="pct"/>
            <w:shd w:val="clear" w:color="auto" w:fill="auto"/>
            <w:tcMar>
              <w:top w:w="0" w:type="dxa"/>
              <w:bottom w:w="0" w:type="dxa"/>
            </w:tcMar>
            <w:vAlign w:val="center"/>
          </w:tcPr>
          <w:p w14:paraId="67E9F41C"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2</w:t>
            </w:r>
          </w:p>
        </w:tc>
        <w:tc>
          <w:tcPr>
            <w:tcW w:w="2129" w:type="pct"/>
            <w:shd w:val="clear" w:color="auto" w:fill="auto"/>
            <w:tcMar>
              <w:top w:w="0" w:type="dxa"/>
              <w:bottom w:w="0" w:type="dxa"/>
            </w:tcMar>
            <w:vAlign w:val="center"/>
          </w:tcPr>
          <w:p w14:paraId="1546CD76"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Pay the contractors providing technological equipments and construction of the Project of “ The complex of Row house in Eastern Residential of Tran Hung Dao Street, Chi Linh City, Hai Duong Province”</w:t>
            </w:r>
          </w:p>
        </w:tc>
        <w:tc>
          <w:tcPr>
            <w:tcW w:w="1213" w:type="pct"/>
            <w:shd w:val="clear" w:color="auto" w:fill="auto"/>
            <w:tcMar>
              <w:top w:w="0" w:type="dxa"/>
              <w:bottom w:w="0" w:type="dxa"/>
            </w:tcMar>
            <w:vAlign w:val="center"/>
          </w:tcPr>
          <w:p w14:paraId="5844E1EF"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160,000,000,000</w:t>
            </w:r>
          </w:p>
        </w:tc>
        <w:tc>
          <w:tcPr>
            <w:tcW w:w="1309" w:type="pct"/>
            <w:shd w:val="clear" w:color="auto" w:fill="auto"/>
            <w:tcMar>
              <w:top w:w="0" w:type="dxa"/>
              <w:bottom w:w="0" w:type="dxa"/>
            </w:tcMar>
            <w:vAlign w:val="center"/>
          </w:tcPr>
          <w:p w14:paraId="659C8542" w14:textId="77777777" w:rsidR="00A826D8" w:rsidRPr="005A325E" w:rsidRDefault="005A325E" w:rsidP="005A325E">
            <w:pPr>
              <w:numPr>
                <w:ilvl w:val="0"/>
                <w:numId w:val="2"/>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160,000,000,000</w:t>
            </w:r>
          </w:p>
          <w:p w14:paraId="40B12359" w14:textId="77777777" w:rsidR="00A826D8" w:rsidRPr="005A325E" w:rsidRDefault="005A325E" w:rsidP="005A325E">
            <w:pPr>
              <w:numPr>
                <w:ilvl w:val="0"/>
                <w:numId w:val="2"/>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w:t>
            </w:r>
            <w:r w:rsidRPr="005A325E">
              <w:rPr>
                <w:rFonts w:ascii="Arial" w:hAnsi="Arial" w:cs="Arial"/>
                <w:color w:val="010000"/>
                <w:sz w:val="20"/>
              </w:rPr>
              <w:t>1</w:t>
            </w:r>
            <w:r w:rsidRPr="005A325E">
              <w:rPr>
                <w:rFonts w:ascii="Arial" w:hAnsi="Arial" w:cs="Arial"/>
                <w:color w:val="010000"/>
                <w:sz w:val="20"/>
              </w:rPr>
              <w:t xml:space="preserve"> - Q</w:t>
            </w:r>
            <w:r w:rsidRPr="005A325E">
              <w:rPr>
                <w:rFonts w:ascii="Arial" w:hAnsi="Arial" w:cs="Arial"/>
                <w:color w:val="010000"/>
                <w:sz w:val="20"/>
              </w:rPr>
              <w:t>2</w:t>
            </w:r>
            <w:r w:rsidRPr="005A325E">
              <w:rPr>
                <w:rFonts w:ascii="Arial" w:hAnsi="Arial" w:cs="Arial"/>
                <w:color w:val="010000"/>
                <w:sz w:val="20"/>
              </w:rPr>
              <w:t>/</w:t>
            </w:r>
            <w:r w:rsidRPr="005A325E">
              <w:rPr>
                <w:rFonts w:ascii="Arial" w:hAnsi="Arial" w:cs="Arial"/>
                <w:color w:val="010000"/>
                <w:sz w:val="20"/>
              </w:rPr>
              <w:t>2022</w:t>
            </w:r>
          </w:p>
        </w:tc>
      </w:tr>
      <w:tr w:rsidR="00A826D8" w:rsidRPr="005A325E" w14:paraId="42C0F4EA" w14:textId="77777777" w:rsidTr="005A325E">
        <w:tc>
          <w:tcPr>
            <w:tcW w:w="349" w:type="pct"/>
            <w:shd w:val="clear" w:color="auto" w:fill="auto"/>
            <w:tcMar>
              <w:top w:w="0" w:type="dxa"/>
              <w:bottom w:w="0" w:type="dxa"/>
            </w:tcMar>
            <w:vAlign w:val="center"/>
          </w:tcPr>
          <w:p w14:paraId="0315D204"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3</w:t>
            </w:r>
          </w:p>
        </w:tc>
        <w:tc>
          <w:tcPr>
            <w:tcW w:w="2129" w:type="pct"/>
            <w:shd w:val="clear" w:color="auto" w:fill="auto"/>
            <w:tcMar>
              <w:top w:w="0" w:type="dxa"/>
              <w:bottom w:w="0" w:type="dxa"/>
            </w:tcMar>
            <w:vAlign w:val="center"/>
          </w:tcPr>
          <w:p w14:paraId="7726A53D"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Investment and business cooperation with International Trading Business and Investing Company Limited (TRABINCO) to implement the “Complex of mansions, row houses, and commercial houses in Cau Yen Residential” in Tu Ky town, Tu Ky District, Hai Duong Provi</w:t>
            </w:r>
            <w:r w:rsidRPr="005A325E">
              <w:rPr>
                <w:rFonts w:ascii="Arial" w:hAnsi="Arial" w:cs="Arial"/>
                <w:color w:val="010000"/>
                <w:sz w:val="20"/>
              </w:rPr>
              <w:t>nce.</w:t>
            </w:r>
          </w:p>
        </w:tc>
        <w:tc>
          <w:tcPr>
            <w:tcW w:w="1213" w:type="pct"/>
            <w:shd w:val="clear" w:color="auto" w:fill="auto"/>
            <w:tcMar>
              <w:top w:w="0" w:type="dxa"/>
              <w:bottom w:w="0" w:type="dxa"/>
            </w:tcMar>
            <w:vAlign w:val="center"/>
          </w:tcPr>
          <w:p w14:paraId="209E0170"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140,000,000,000</w:t>
            </w:r>
          </w:p>
        </w:tc>
        <w:tc>
          <w:tcPr>
            <w:tcW w:w="1309" w:type="pct"/>
            <w:shd w:val="clear" w:color="auto" w:fill="auto"/>
            <w:tcMar>
              <w:top w:w="0" w:type="dxa"/>
              <w:bottom w:w="0" w:type="dxa"/>
            </w:tcMar>
            <w:vAlign w:val="center"/>
          </w:tcPr>
          <w:p w14:paraId="68A9DBDC" w14:textId="77777777" w:rsidR="00A826D8" w:rsidRPr="005A325E" w:rsidRDefault="005A325E" w:rsidP="005A325E">
            <w:pPr>
              <w:numPr>
                <w:ilvl w:val="0"/>
                <w:numId w:val="3"/>
              </w:numPr>
              <w:pBdr>
                <w:top w:val="nil"/>
                <w:left w:val="nil"/>
                <w:bottom w:val="nil"/>
                <w:right w:val="nil"/>
                <w:between w:val="nil"/>
              </w:pBdr>
              <w:tabs>
                <w:tab w:val="left" w:pos="168"/>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140,000,000,000</w:t>
            </w:r>
          </w:p>
          <w:p w14:paraId="57646D46" w14:textId="77777777" w:rsidR="00A826D8" w:rsidRPr="005A325E" w:rsidRDefault="005A325E" w:rsidP="005A325E">
            <w:pPr>
              <w:numPr>
                <w:ilvl w:val="0"/>
                <w:numId w:val="3"/>
              </w:numPr>
              <w:pBdr>
                <w:top w:val="nil"/>
                <w:left w:val="nil"/>
                <w:bottom w:val="nil"/>
                <w:right w:val="nil"/>
                <w:between w:val="nil"/>
              </w:pBdr>
              <w:tabs>
                <w:tab w:val="left" w:pos="168"/>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2021</w:t>
            </w:r>
            <w:r w:rsidRPr="005A325E">
              <w:rPr>
                <w:rFonts w:ascii="Arial" w:hAnsi="Arial" w:cs="Arial"/>
                <w:color w:val="010000"/>
                <w:sz w:val="20"/>
              </w:rPr>
              <w:t xml:space="preserve"> - Q</w:t>
            </w:r>
            <w:r w:rsidRPr="005A325E">
              <w:rPr>
                <w:rFonts w:ascii="Arial" w:hAnsi="Arial" w:cs="Arial"/>
                <w:color w:val="010000"/>
                <w:sz w:val="20"/>
              </w:rPr>
              <w:t>2</w:t>
            </w:r>
            <w:r w:rsidRPr="005A325E">
              <w:rPr>
                <w:rFonts w:ascii="Arial" w:hAnsi="Arial" w:cs="Arial"/>
                <w:color w:val="010000"/>
                <w:sz w:val="20"/>
              </w:rPr>
              <w:t>/</w:t>
            </w:r>
            <w:r w:rsidRPr="005A325E">
              <w:rPr>
                <w:rFonts w:ascii="Arial" w:hAnsi="Arial" w:cs="Arial"/>
                <w:color w:val="010000"/>
                <w:sz w:val="20"/>
              </w:rPr>
              <w:t>2022</w:t>
            </w:r>
          </w:p>
        </w:tc>
      </w:tr>
      <w:tr w:rsidR="00A826D8" w:rsidRPr="005A325E" w14:paraId="2C15EA89" w14:textId="77777777" w:rsidTr="005A325E">
        <w:tc>
          <w:tcPr>
            <w:tcW w:w="349" w:type="pct"/>
            <w:shd w:val="clear" w:color="auto" w:fill="auto"/>
            <w:tcMar>
              <w:top w:w="0" w:type="dxa"/>
              <w:bottom w:w="0" w:type="dxa"/>
            </w:tcMar>
            <w:vAlign w:val="center"/>
          </w:tcPr>
          <w:p w14:paraId="7F8090B7"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3</w:t>
            </w:r>
          </w:p>
        </w:tc>
        <w:tc>
          <w:tcPr>
            <w:tcW w:w="2129" w:type="pct"/>
            <w:shd w:val="clear" w:color="auto" w:fill="auto"/>
            <w:tcMar>
              <w:top w:w="0" w:type="dxa"/>
              <w:bottom w:w="0" w:type="dxa"/>
            </w:tcMar>
            <w:vAlign w:val="center"/>
          </w:tcPr>
          <w:p w14:paraId="023CC946"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Supplement short-term working capital for the production and business activities of the Company.</w:t>
            </w:r>
          </w:p>
        </w:tc>
        <w:tc>
          <w:tcPr>
            <w:tcW w:w="1213" w:type="pct"/>
            <w:shd w:val="clear" w:color="auto" w:fill="auto"/>
            <w:tcMar>
              <w:top w:w="0" w:type="dxa"/>
              <w:bottom w:w="0" w:type="dxa"/>
            </w:tcMar>
            <w:vAlign w:val="center"/>
          </w:tcPr>
          <w:p w14:paraId="71024197"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161,780,000,000</w:t>
            </w:r>
          </w:p>
        </w:tc>
        <w:tc>
          <w:tcPr>
            <w:tcW w:w="1309" w:type="pct"/>
            <w:shd w:val="clear" w:color="auto" w:fill="auto"/>
            <w:tcMar>
              <w:top w:w="0" w:type="dxa"/>
              <w:bottom w:w="0" w:type="dxa"/>
            </w:tcMar>
            <w:vAlign w:val="center"/>
          </w:tcPr>
          <w:p w14:paraId="7E9B42C7" w14:textId="77777777" w:rsidR="00A826D8" w:rsidRPr="005A325E" w:rsidRDefault="005A325E" w:rsidP="005A325E">
            <w:pPr>
              <w:numPr>
                <w:ilvl w:val="0"/>
                <w:numId w:val="4"/>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11,000,000,000</w:t>
            </w:r>
          </w:p>
          <w:p w14:paraId="255DC60E" w14:textId="77777777" w:rsidR="00A826D8" w:rsidRPr="005A325E" w:rsidRDefault="005A325E" w:rsidP="005A325E">
            <w:pPr>
              <w:numPr>
                <w:ilvl w:val="0"/>
                <w:numId w:val="4"/>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w:t>
            </w:r>
            <w:r w:rsidRPr="005A325E">
              <w:rPr>
                <w:rFonts w:ascii="Arial" w:hAnsi="Arial" w:cs="Arial"/>
                <w:color w:val="010000"/>
                <w:sz w:val="20"/>
              </w:rPr>
              <w:t>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2021</w:t>
            </w:r>
            <w:r w:rsidRPr="005A325E">
              <w:rPr>
                <w:rFonts w:ascii="Arial" w:hAnsi="Arial" w:cs="Arial"/>
                <w:color w:val="010000"/>
                <w:sz w:val="20"/>
              </w:rPr>
              <w:t xml:space="preserve"> - Q</w:t>
            </w:r>
            <w:r w:rsidRPr="005A325E">
              <w:rPr>
                <w:rFonts w:ascii="Arial" w:hAnsi="Arial" w:cs="Arial"/>
                <w:color w:val="010000"/>
                <w:sz w:val="20"/>
              </w:rPr>
              <w:t>2</w:t>
            </w:r>
            <w:r w:rsidRPr="005A325E">
              <w:rPr>
                <w:rFonts w:ascii="Arial" w:hAnsi="Arial" w:cs="Arial"/>
                <w:color w:val="010000"/>
                <w:sz w:val="20"/>
              </w:rPr>
              <w:t>/</w:t>
            </w:r>
            <w:r w:rsidRPr="005A325E">
              <w:rPr>
                <w:rFonts w:ascii="Arial" w:hAnsi="Arial" w:cs="Arial"/>
                <w:color w:val="010000"/>
                <w:sz w:val="20"/>
              </w:rPr>
              <w:t>2022</w:t>
            </w:r>
          </w:p>
          <w:p w14:paraId="1983C102" w14:textId="77777777" w:rsidR="00A826D8" w:rsidRPr="005A325E" w:rsidRDefault="005A325E" w:rsidP="005A325E">
            <w:pPr>
              <w:numPr>
                <w:ilvl w:val="0"/>
                <w:numId w:val="4"/>
              </w:numPr>
              <w:pBdr>
                <w:top w:val="nil"/>
                <w:left w:val="nil"/>
                <w:bottom w:val="nil"/>
                <w:right w:val="nil"/>
                <w:between w:val="nil"/>
              </w:pBdr>
              <w:tabs>
                <w:tab w:val="left" w:pos="270"/>
                <w:tab w:val="left" w:pos="360"/>
                <w:tab w:val="left" w:pos="778"/>
                <w:tab w:val="left" w:pos="1714"/>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160,000,000,000</w:t>
            </w:r>
          </w:p>
          <w:p w14:paraId="6E902CDC" w14:textId="77777777" w:rsidR="00A826D8" w:rsidRPr="005A325E" w:rsidRDefault="005A325E" w:rsidP="005A325E">
            <w:pPr>
              <w:numPr>
                <w:ilvl w:val="0"/>
                <w:numId w:val="4"/>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w:t>
            </w:r>
            <w:r w:rsidRPr="005A325E">
              <w:rPr>
                <w:rFonts w:ascii="Arial" w:hAnsi="Arial" w:cs="Arial"/>
                <w:color w:val="010000"/>
                <w:sz w:val="20"/>
              </w:rPr>
              <w:t>Q</w:t>
            </w:r>
            <w:r w:rsidRPr="005A325E">
              <w:rPr>
                <w:rFonts w:ascii="Arial" w:hAnsi="Arial" w:cs="Arial"/>
                <w:color w:val="010000"/>
                <w:sz w:val="20"/>
              </w:rPr>
              <w:t>2</w:t>
            </w:r>
            <w:r w:rsidRPr="005A325E">
              <w:rPr>
                <w:rFonts w:ascii="Arial" w:hAnsi="Arial" w:cs="Arial"/>
                <w:color w:val="010000"/>
                <w:sz w:val="20"/>
              </w:rPr>
              <w:t xml:space="preserve"> - Q</w:t>
            </w:r>
            <w:r w:rsidRPr="005A325E">
              <w:rPr>
                <w:rFonts w:ascii="Arial" w:hAnsi="Arial" w:cs="Arial"/>
                <w:color w:val="010000"/>
                <w:sz w:val="20"/>
              </w:rPr>
              <w:t>3</w:t>
            </w:r>
            <w:r w:rsidRPr="005A325E">
              <w:rPr>
                <w:rFonts w:ascii="Arial" w:hAnsi="Arial" w:cs="Arial"/>
                <w:color w:val="010000"/>
                <w:sz w:val="20"/>
              </w:rPr>
              <w:t>/</w:t>
            </w:r>
            <w:r w:rsidRPr="005A325E">
              <w:rPr>
                <w:rFonts w:ascii="Arial" w:hAnsi="Arial" w:cs="Arial"/>
                <w:color w:val="010000"/>
                <w:sz w:val="20"/>
              </w:rPr>
              <w:t>2024</w:t>
            </w:r>
          </w:p>
        </w:tc>
      </w:tr>
      <w:tr w:rsidR="00A826D8" w:rsidRPr="005A325E" w14:paraId="3A5A1DCB" w14:textId="77777777" w:rsidTr="005A325E">
        <w:tc>
          <w:tcPr>
            <w:tcW w:w="2478" w:type="pct"/>
            <w:gridSpan w:val="2"/>
            <w:shd w:val="clear" w:color="auto" w:fill="auto"/>
            <w:tcMar>
              <w:top w:w="0" w:type="dxa"/>
              <w:bottom w:w="0" w:type="dxa"/>
            </w:tcMar>
            <w:vAlign w:val="center"/>
          </w:tcPr>
          <w:p w14:paraId="5FD351ED"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Total</w:t>
            </w:r>
          </w:p>
        </w:tc>
        <w:tc>
          <w:tcPr>
            <w:tcW w:w="1213" w:type="pct"/>
            <w:shd w:val="clear" w:color="auto" w:fill="auto"/>
            <w:tcMar>
              <w:top w:w="0" w:type="dxa"/>
              <w:bottom w:w="0" w:type="dxa"/>
            </w:tcMar>
            <w:vAlign w:val="center"/>
          </w:tcPr>
          <w:p w14:paraId="48FAC7DD"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366,000,000,000</w:t>
            </w:r>
          </w:p>
        </w:tc>
        <w:tc>
          <w:tcPr>
            <w:tcW w:w="1309" w:type="pct"/>
            <w:shd w:val="clear" w:color="auto" w:fill="auto"/>
            <w:tcMar>
              <w:top w:w="0" w:type="dxa"/>
              <w:bottom w:w="0" w:type="dxa"/>
            </w:tcMar>
            <w:vAlign w:val="center"/>
          </w:tcPr>
          <w:p w14:paraId="57D25029" w14:textId="77777777" w:rsidR="00A826D8" w:rsidRPr="005A325E" w:rsidRDefault="00A826D8" w:rsidP="005A325E">
            <w:pPr>
              <w:tabs>
                <w:tab w:val="left" w:pos="270"/>
                <w:tab w:val="left" w:pos="360"/>
              </w:tabs>
              <w:spacing w:after="120" w:line="360" w:lineRule="auto"/>
              <w:rPr>
                <w:rFonts w:ascii="Arial" w:eastAsia="Arial" w:hAnsi="Arial" w:cs="Arial"/>
                <w:color w:val="010000"/>
                <w:sz w:val="20"/>
                <w:szCs w:val="20"/>
              </w:rPr>
            </w:pPr>
          </w:p>
        </w:tc>
      </w:tr>
    </w:tbl>
    <w:p w14:paraId="2E35D9FA" w14:textId="77777777" w:rsidR="00A826D8" w:rsidRPr="005A325E" w:rsidRDefault="005A325E" w:rsidP="005A325E">
      <w:pPr>
        <w:numPr>
          <w:ilvl w:val="0"/>
          <w:numId w:val="9"/>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5A325E">
        <w:rPr>
          <w:rFonts w:ascii="Arial" w:hAnsi="Arial" w:cs="Arial"/>
          <w:color w:val="010000"/>
          <w:sz w:val="20"/>
        </w:rPr>
        <w:t xml:space="preserve"> </w:t>
      </w:r>
      <w:r w:rsidRPr="005A325E">
        <w:rPr>
          <w:rFonts w:ascii="Arial" w:hAnsi="Arial" w:cs="Arial"/>
          <w:color w:val="010000"/>
          <w:sz w:val="20"/>
        </w:rPr>
        <w:t>Plan for changes</w:t>
      </w:r>
      <w:r w:rsidRPr="005A325E">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1"/>
        <w:gridCol w:w="3544"/>
        <w:gridCol w:w="2249"/>
        <w:gridCol w:w="2453"/>
      </w:tblGrid>
      <w:tr w:rsidR="00A826D8" w:rsidRPr="005A325E" w14:paraId="258E17A7" w14:textId="77777777" w:rsidTr="005A325E">
        <w:tc>
          <w:tcPr>
            <w:tcW w:w="428" w:type="pct"/>
            <w:shd w:val="clear" w:color="auto" w:fill="auto"/>
            <w:tcMar>
              <w:top w:w="0" w:type="dxa"/>
              <w:bottom w:w="0" w:type="dxa"/>
            </w:tcMar>
            <w:vAlign w:val="center"/>
          </w:tcPr>
          <w:p w14:paraId="62F80E81"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No.</w:t>
            </w:r>
          </w:p>
        </w:tc>
        <w:tc>
          <w:tcPr>
            <w:tcW w:w="1965" w:type="pct"/>
            <w:shd w:val="clear" w:color="auto" w:fill="auto"/>
            <w:tcMar>
              <w:top w:w="0" w:type="dxa"/>
              <w:bottom w:w="0" w:type="dxa"/>
            </w:tcMar>
            <w:vAlign w:val="center"/>
          </w:tcPr>
          <w:p w14:paraId="61515E07"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Use plan</w:t>
            </w:r>
          </w:p>
        </w:tc>
        <w:tc>
          <w:tcPr>
            <w:tcW w:w="1247" w:type="pct"/>
            <w:shd w:val="clear" w:color="auto" w:fill="auto"/>
            <w:tcMar>
              <w:top w:w="0" w:type="dxa"/>
              <w:bottom w:w="0" w:type="dxa"/>
            </w:tcMar>
            <w:vAlign w:val="center"/>
          </w:tcPr>
          <w:p w14:paraId="0991135B" w14:textId="77777777" w:rsidR="00A826D8" w:rsidRPr="005A325E" w:rsidRDefault="005A325E" w:rsidP="005A325E">
            <w:pPr>
              <w:pBdr>
                <w:top w:val="nil"/>
                <w:left w:val="nil"/>
                <w:bottom w:val="nil"/>
                <w:right w:val="nil"/>
                <w:between w:val="nil"/>
              </w:pBdr>
              <w:tabs>
                <w:tab w:val="left" w:pos="270"/>
                <w:tab w:val="left" w:pos="360"/>
                <w:tab w:val="left" w:pos="1836"/>
              </w:tabs>
              <w:spacing w:after="120" w:line="360" w:lineRule="auto"/>
              <w:rPr>
                <w:rFonts w:ascii="Arial" w:eastAsia="Arial" w:hAnsi="Arial" w:cs="Arial"/>
                <w:color w:val="010000"/>
                <w:sz w:val="20"/>
                <w:szCs w:val="20"/>
              </w:rPr>
            </w:pPr>
            <w:r w:rsidRPr="005A325E">
              <w:rPr>
                <w:rFonts w:ascii="Arial" w:hAnsi="Arial" w:cs="Arial"/>
                <w:color w:val="010000"/>
                <w:sz w:val="20"/>
              </w:rPr>
              <w:t xml:space="preserve">Expected allocation of proceeds from the </w:t>
            </w:r>
            <w:r w:rsidRPr="005A325E">
              <w:rPr>
                <w:rFonts w:ascii="Arial" w:hAnsi="Arial" w:cs="Arial"/>
                <w:color w:val="010000"/>
                <w:sz w:val="20"/>
              </w:rPr>
              <w:lastRenderedPageBreak/>
              <w:t>issuance</w:t>
            </w:r>
          </w:p>
        </w:tc>
        <w:tc>
          <w:tcPr>
            <w:tcW w:w="1360" w:type="pct"/>
            <w:shd w:val="clear" w:color="auto" w:fill="auto"/>
            <w:tcMar>
              <w:top w:w="0" w:type="dxa"/>
              <w:bottom w:w="0" w:type="dxa"/>
            </w:tcMar>
            <w:vAlign w:val="center"/>
          </w:tcPr>
          <w:p w14:paraId="1DA03140"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lastRenderedPageBreak/>
              <w:t xml:space="preserve">Expected use progress of proceeds from the </w:t>
            </w:r>
            <w:r w:rsidRPr="005A325E">
              <w:rPr>
                <w:rFonts w:ascii="Arial" w:hAnsi="Arial" w:cs="Arial"/>
                <w:color w:val="010000"/>
                <w:sz w:val="20"/>
              </w:rPr>
              <w:lastRenderedPageBreak/>
              <w:t>issuance</w:t>
            </w:r>
          </w:p>
        </w:tc>
      </w:tr>
      <w:tr w:rsidR="00A826D8" w:rsidRPr="005A325E" w14:paraId="5A87B941" w14:textId="77777777" w:rsidTr="005A325E">
        <w:tc>
          <w:tcPr>
            <w:tcW w:w="428" w:type="pct"/>
            <w:shd w:val="clear" w:color="auto" w:fill="auto"/>
            <w:tcMar>
              <w:top w:w="0" w:type="dxa"/>
              <w:bottom w:w="0" w:type="dxa"/>
            </w:tcMar>
            <w:vAlign w:val="center"/>
          </w:tcPr>
          <w:p w14:paraId="572E2C5F"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lastRenderedPageBreak/>
              <w:t>1</w:t>
            </w:r>
          </w:p>
        </w:tc>
        <w:tc>
          <w:tcPr>
            <w:tcW w:w="1965" w:type="pct"/>
            <w:shd w:val="clear" w:color="auto" w:fill="auto"/>
            <w:tcMar>
              <w:top w:w="0" w:type="dxa"/>
              <w:bottom w:w="0" w:type="dxa"/>
            </w:tcMar>
            <w:vAlign w:val="center"/>
          </w:tcPr>
          <w:p w14:paraId="21691606"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 xml:space="preserve">Invest in buying the shares from shareholders of Viet Tien Son JSC to account for a controlling ratio of </w:t>
            </w:r>
            <w:r w:rsidRPr="005A325E">
              <w:rPr>
                <w:rFonts w:ascii="Arial" w:hAnsi="Arial" w:cs="Arial"/>
                <w:color w:val="010000"/>
                <w:sz w:val="20"/>
              </w:rPr>
              <w:t>95</w:t>
            </w:r>
            <w:r w:rsidRPr="005A325E">
              <w:rPr>
                <w:rFonts w:ascii="Arial" w:hAnsi="Arial" w:cs="Arial"/>
                <w:color w:val="010000"/>
                <w:sz w:val="20"/>
              </w:rPr>
              <w:t>% of the Charter capital</w:t>
            </w:r>
          </w:p>
        </w:tc>
        <w:tc>
          <w:tcPr>
            <w:tcW w:w="1247" w:type="pct"/>
            <w:shd w:val="clear" w:color="auto" w:fill="auto"/>
            <w:tcMar>
              <w:top w:w="0" w:type="dxa"/>
              <w:bottom w:w="0" w:type="dxa"/>
            </w:tcMar>
            <w:vAlign w:val="center"/>
          </w:tcPr>
          <w:p w14:paraId="577EB207"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64,220,000,000</w:t>
            </w:r>
          </w:p>
        </w:tc>
        <w:tc>
          <w:tcPr>
            <w:tcW w:w="1360" w:type="pct"/>
            <w:shd w:val="clear" w:color="auto" w:fill="auto"/>
            <w:tcMar>
              <w:top w:w="0" w:type="dxa"/>
              <w:bottom w:w="0" w:type="dxa"/>
            </w:tcMar>
            <w:vAlign w:val="center"/>
          </w:tcPr>
          <w:p w14:paraId="3280AC2E" w14:textId="77777777" w:rsidR="00A826D8" w:rsidRPr="005A325E" w:rsidRDefault="005A325E" w:rsidP="005A325E">
            <w:pPr>
              <w:numPr>
                <w:ilvl w:val="0"/>
                <w:numId w:val="6"/>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 xml:space="preserve">Amount VND </w:t>
            </w:r>
            <w:r w:rsidRPr="005A325E">
              <w:rPr>
                <w:rFonts w:ascii="Arial" w:hAnsi="Arial" w:cs="Arial"/>
                <w:color w:val="010000"/>
                <w:sz w:val="20"/>
              </w:rPr>
              <w:t>64,220,000,000</w:t>
            </w:r>
          </w:p>
          <w:p w14:paraId="0D5A414C" w14:textId="77777777" w:rsidR="00A826D8" w:rsidRPr="005A325E" w:rsidRDefault="005A325E" w:rsidP="005A325E">
            <w:pPr>
              <w:numPr>
                <w:ilvl w:val="0"/>
                <w:numId w:val="6"/>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2021</w:t>
            </w:r>
            <w:r w:rsidRPr="005A325E">
              <w:rPr>
                <w:rFonts w:ascii="Arial" w:hAnsi="Arial" w:cs="Arial"/>
                <w:color w:val="010000"/>
                <w:sz w:val="20"/>
              </w:rPr>
              <w:t xml:space="preserve"> - Q</w:t>
            </w:r>
            <w:r w:rsidRPr="005A325E">
              <w:rPr>
                <w:rFonts w:ascii="Arial" w:hAnsi="Arial" w:cs="Arial"/>
                <w:color w:val="010000"/>
                <w:sz w:val="20"/>
              </w:rPr>
              <w:t>2</w:t>
            </w:r>
            <w:r w:rsidRPr="005A325E">
              <w:rPr>
                <w:rFonts w:ascii="Arial" w:hAnsi="Arial" w:cs="Arial"/>
                <w:color w:val="010000"/>
                <w:sz w:val="20"/>
              </w:rPr>
              <w:t>/</w:t>
            </w:r>
            <w:r w:rsidRPr="005A325E">
              <w:rPr>
                <w:rFonts w:ascii="Arial" w:hAnsi="Arial" w:cs="Arial"/>
                <w:color w:val="010000"/>
                <w:sz w:val="20"/>
              </w:rPr>
              <w:t>2022</w:t>
            </w:r>
          </w:p>
        </w:tc>
      </w:tr>
      <w:tr w:rsidR="00A826D8" w:rsidRPr="005A325E" w14:paraId="096B490E" w14:textId="77777777" w:rsidTr="005A325E">
        <w:tc>
          <w:tcPr>
            <w:tcW w:w="428" w:type="pct"/>
            <w:shd w:val="clear" w:color="auto" w:fill="auto"/>
            <w:tcMar>
              <w:top w:w="0" w:type="dxa"/>
              <w:bottom w:w="0" w:type="dxa"/>
            </w:tcMar>
            <w:vAlign w:val="center"/>
          </w:tcPr>
          <w:p w14:paraId="23DAD8BE"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2</w:t>
            </w:r>
          </w:p>
        </w:tc>
        <w:tc>
          <w:tcPr>
            <w:tcW w:w="1965" w:type="pct"/>
            <w:shd w:val="clear" w:color="auto" w:fill="auto"/>
            <w:tcMar>
              <w:top w:w="0" w:type="dxa"/>
              <w:bottom w:w="0" w:type="dxa"/>
            </w:tcMar>
            <w:vAlign w:val="center"/>
          </w:tcPr>
          <w:p w14:paraId="1DB9BA9B"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Investment and business cooperation with International Trading Business and Investing Company Limited (TRABINCO) to implement the “Complex of mansions, row houses, and commercial houses in Cau Yen Residential” in Tu Ky town, Tu Ky District, Hai Duong Provi</w:t>
            </w:r>
            <w:r w:rsidRPr="005A325E">
              <w:rPr>
                <w:rFonts w:ascii="Arial" w:hAnsi="Arial" w:cs="Arial"/>
                <w:color w:val="010000"/>
                <w:sz w:val="20"/>
              </w:rPr>
              <w:t>nce.</w:t>
            </w:r>
          </w:p>
        </w:tc>
        <w:tc>
          <w:tcPr>
            <w:tcW w:w="1247" w:type="pct"/>
            <w:shd w:val="clear" w:color="auto" w:fill="auto"/>
            <w:tcMar>
              <w:top w:w="0" w:type="dxa"/>
              <w:bottom w:w="0" w:type="dxa"/>
            </w:tcMar>
            <w:vAlign w:val="center"/>
          </w:tcPr>
          <w:p w14:paraId="79388E04"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140,000,000,000</w:t>
            </w:r>
          </w:p>
        </w:tc>
        <w:tc>
          <w:tcPr>
            <w:tcW w:w="1360" w:type="pct"/>
            <w:shd w:val="clear" w:color="auto" w:fill="auto"/>
            <w:tcMar>
              <w:top w:w="0" w:type="dxa"/>
              <w:bottom w:w="0" w:type="dxa"/>
            </w:tcMar>
            <w:vAlign w:val="center"/>
          </w:tcPr>
          <w:p w14:paraId="09AD3B20" w14:textId="77777777" w:rsidR="00A826D8" w:rsidRPr="005A325E" w:rsidRDefault="005A325E" w:rsidP="005A325E">
            <w:pPr>
              <w:numPr>
                <w:ilvl w:val="0"/>
                <w:numId w:val="8"/>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140,000,000,000</w:t>
            </w:r>
          </w:p>
          <w:p w14:paraId="55C1DDEA" w14:textId="77777777" w:rsidR="00A826D8" w:rsidRPr="005A325E" w:rsidRDefault="005A325E" w:rsidP="005A325E">
            <w:pPr>
              <w:numPr>
                <w:ilvl w:val="0"/>
                <w:numId w:val="8"/>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2021</w:t>
            </w:r>
            <w:r w:rsidRPr="005A325E">
              <w:rPr>
                <w:rFonts w:ascii="Arial" w:hAnsi="Arial" w:cs="Arial"/>
                <w:color w:val="010000"/>
                <w:sz w:val="20"/>
              </w:rPr>
              <w:t xml:space="preserve"> - Q</w:t>
            </w:r>
            <w:r w:rsidRPr="005A325E">
              <w:rPr>
                <w:rFonts w:ascii="Arial" w:hAnsi="Arial" w:cs="Arial"/>
                <w:color w:val="010000"/>
                <w:sz w:val="20"/>
              </w:rPr>
              <w:t>2</w:t>
            </w:r>
            <w:r w:rsidRPr="005A325E">
              <w:rPr>
                <w:rFonts w:ascii="Arial" w:hAnsi="Arial" w:cs="Arial"/>
                <w:color w:val="010000"/>
                <w:sz w:val="20"/>
              </w:rPr>
              <w:t>/</w:t>
            </w:r>
            <w:r w:rsidRPr="005A325E">
              <w:rPr>
                <w:rFonts w:ascii="Arial" w:hAnsi="Arial" w:cs="Arial"/>
                <w:color w:val="010000"/>
                <w:sz w:val="20"/>
              </w:rPr>
              <w:t>2022</w:t>
            </w:r>
          </w:p>
        </w:tc>
      </w:tr>
      <w:tr w:rsidR="00A826D8" w:rsidRPr="005A325E" w14:paraId="0A5880B0" w14:textId="77777777" w:rsidTr="005A325E">
        <w:tc>
          <w:tcPr>
            <w:tcW w:w="428" w:type="pct"/>
            <w:shd w:val="clear" w:color="auto" w:fill="auto"/>
            <w:tcMar>
              <w:top w:w="0" w:type="dxa"/>
              <w:bottom w:w="0" w:type="dxa"/>
            </w:tcMar>
            <w:vAlign w:val="center"/>
          </w:tcPr>
          <w:p w14:paraId="73DE58E7"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3</w:t>
            </w:r>
          </w:p>
        </w:tc>
        <w:tc>
          <w:tcPr>
            <w:tcW w:w="1965" w:type="pct"/>
            <w:shd w:val="clear" w:color="auto" w:fill="auto"/>
            <w:tcMar>
              <w:top w:w="0" w:type="dxa"/>
              <w:bottom w:w="0" w:type="dxa"/>
            </w:tcMar>
            <w:vAlign w:val="center"/>
          </w:tcPr>
          <w:p w14:paraId="34058650"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Supplement short-term working capital for the production and business activities of the Company.</w:t>
            </w:r>
          </w:p>
        </w:tc>
        <w:tc>
          <w:tcPr>
            <w:tcW w:w="1247" w:type="pct"/>
            <w:shd w:val="clear" w:color="auto" w:fill="auto"/>
            <w:tcMar>
              <w:top w:w="0" w:type="dxa"/>
              <w:bottom w:w="0" w:type="dxa"/>
            </w:tcMar>
            <w:vAlign w:val="center"/>
          </w:tcPr>
          <w:p w14:paraId="52FE7038"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161,780,000,000</w:t>
            </w:r>
          </w:p>
        </w:tc>
        <w:tc>
          <w:tcPr>
            <w:tcW w:w="1360" w:type="pct"/>
            <w:shd w:val="clear" w:color="auto" w:fill="auto"/>
            <w:tcMar>
              <w:top w:w="0" w:type="dxa"/>
              <w:bottom w:w="0" w:type="dxa"/>
            </w:tcMar>
            <w:vAlign w:val="center"/>
          </w:tcPr>
          <w:p w14:paraId="0624074A" w14:textId="77777777" w:rsidR="00A826D8" w:rsidRPr="005A325E" w:rsidRDefault="005A325E" w:rsidP="005A325E">
            <w:pPr>
              <w:numPr>
                <w:ilvl w:val="0"/>
                <w:numId w:val="5"/>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11,000,000,000</w:t>
            </w:r>
          </w:p>
          <w:p w14:paraId="2F38476C" w14:textId="77777777" w:rsidR="00A826D8" w:rsidRPr="005A325E" w:rsidRDefault="005A325E" w:rsidP="005A325E">
            <w:pPr>
              <w:numPr>
                <w:ilvl w:val="0"/>
                <w:numId w:val="5"/>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w:t>
            </w:r>
            <w:r w:rsidRPr="005A325E">
              <w:rPr>
                <w:rFonts w:ascii="Arial" w:hAnsi="Arial" w:cs="Arial"/>
                <w:color w:val="010000"/>
                <w:sz w:val="20"/>
              </w:rPr>
              <w:t>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2021</w:t>
            </w:r>
            <w:r w:rsidRPr="005A325E">
              <w:rPr>
                <w:rFonts w:ascii="Arial" w:hAnsi="Arial" w:cs="Arial"/>
                <w:color w:val="010000"/>
                <w:sz w:val="20"/>
              </w:rPr>
              <w:t xml:space="preserve"> - Q</w:t>
            </w:r>
            <w:r w:rsidRPr="005A325E">
              <w:rPr>
                <w:rFonts w:ascii="Arial" w:hAnsi="Arial" w:cs="Arial"/>
                <w:color w:val="010000"/>
                <w:sz w:val="20"/>
              </w:rPr>
              <w:t>2</w:t>
            </w:r>
            <w:r w:rsidRPr="005A325E">
              <w:rPr>
                <w:rFonts w:ascii="Arial" w:hAnsi="Arial" w:cs="Arial"/>
                <w:color w:val="010000"/>
                <w:sz w:val="20"/>
              </w:rPr>
              <w:t>/</w:t>
            </w:r>
            <w:r w:rsidRPr="005A325E">
              <w:rPr>
                <w:rFonts w:ascii="Arial" w:hAnsi="Arial" w:cs="Arial"/>
                <w:color w:val="010000"/>
                <w:sz w:val="20"/>
              </w:rPr>
              <w:t>2022</w:t>
            </w:r>
          </w:p>
          <w:p w14:paraId="1D18D427" w14:textId="77777777" w:rsidR="00A826D8" w:rsidRPr="005A325E" w:rsidRDefault="005A325E" w:rsidP="005A325E">
            <w:pPr>
              <w:pBdr>
                <w:top w:val="nil"/>
                <w:left w:val="nil"/>
                <w:bottom w:val="nil"/>
                <w:right w:val="nil"/>
                <w:between w:val="nil"/>
              </w:pBdr>
              <w:tabs>
                <w:tab w:val="left" w:pos="270"/>
                <w:tab w:val="left" w:pos="360"/>
                <w:tab w:val="left" w:pos="1727"/>
              </w:tabs>
              <w:spacing w:after="120" w:line="360" w:lineRule="auto"/>
              <w:rPr>
                <w:rFonts w:ascii="Arial" w:eastAsia="Arial" w:hAnsi="Arial" w:cs="Arial"/>
                <w:color w:val="010000"/>
                <w:sz w:val="20"/>
                <w:szCs w:val="20"/>
              </w:rPr>
            </w:pPr>
            <w:r w:rsidRPr="005A325E">
              <w:rPr>
                <w:rFonts w:ascii="Arial" w:hAnsi="Arial" w:cs="Arial"/>
                <w:color w:val="010000"/>
                <w:sz w:val="20"/>
              </w:rPr>
              <w:t>Amount</w:t>
            </w:r>
            <w:r w:rsidRPr="005A325E">
              <w:rPr>
                <w:rFonts w:ascii="Arial" w:hAnsi="Arial" w:cs="Arial"/>
                <w:color w:val="010000"/>
                <w:sz w:val="20"/>
              </w:rPr>
              <w:t>:</w:t>
            </w:r>
            <w:r w:rsidRPr="005A325E">
              <w:rPr>
                <w:rFonts w:ascii="Arial" w:hAnsi="Arial" w:cs="Arial"/>
                <w:color w:val="010000"/>
                <w:sz w:val="20"/>
              </w:rPr>
              <w:t xml:space="preserve"> VND </w:t>
            </w:r>
            <w:r w:rsidRPr="005A325E">
              <w:rPr>
                <w:rFonts w:ascii="Arial" w:hAnsi="Arial" w:cs="Arial"/>
                <w:color w:val="010000"/>
                <w:sz w:val="20"/>
              </w:rPr>
              <w:t>160,000,000,000</w:t>
            </w:r>
          </w:p>
          <w:p w14:paraId="5C8F8E72" w14:textId="77777777" w:rsidR="00A826D8" w:rsidRPr="005A325E" w:rsidRDefault="005A325E" w:rsidP="005A325E">
            <w:pPr>
              <w:numPr>
                <w:ilvl w:val="0"/>
                <w:numId w:val="5"/>
              </w:numPr>
              <w:pBdr>
                <w:top w:val="nil"/>
                <w:left w:val="nil"/>
                <w:bottom w:val="nil"/>
                <w:right w:val="nil"/>
                <w:between w:val="nil"/>
              </w:pBdr>
              <w:tabs>
                <w:tab w:val="left" w:pos="173"/>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Time</w:t>
            </w:r>
            <w:r w:rsidRPr="005A325E">
              <w:rPr>
                <w:rFonts w:ascii="Arial" w:hAnsi="Arial" w:cs="Arial"/>
                <w:color w:val="010000"/>
                <w:sz w:val="20"/>
              </w:rPr>
              <w:t>:</w:t>
            </w:r>
            <w:r w:rsidRPr="005A325E">
              <w:rPr>
                <w:rFonts w:ascii="Arial" w:hAnsi="Arial" w:cs="Arial"/>
                <w:color w:val="010000"/>
                <w:sz w:val="20"/>
              </w:rPr>
              <w:t xml:space="preserve"> Q</w:t>
            </w:r>
            <w:r w:rsidRPr="005A325E">
              <w:rPr>
                <w:rFonts w:ascii="Arial" w:hAnsi="Arial" w:cs="Arial"/>
                <w:color w:val="010000"/>
                <w:sz w:val="20"/>
              </w:rPr>
              <w:t>2</w:t>
            </w:r>
            <w:r w:rsidRPr="005A325E">
              <w:rPr>
                <w:rFonts w:ascii="Arial" w:hAnsi="Arial" w:cs="Arial"/>
                <w:color w:val="010000"/>
                <w:sz w:val="20"/>
              </w:rPr>
              <w:t xml:space="preserve"> - Q</w:t>
            </w:r>
            <w:r w:rsidRPr="005A325E">
              <w:rPr>
                <w:rFonts w:ascii="Arial" w:hAnsi="Arial" w:cs="Arial"/>
                <w:color w:val="010000"/>
                <w:sz w:val="20"/>
              </w:rPr>
              <w:t>3</w:t>
            </w:r>
            <w:r w:rsidRPr="005A325E">
              <w:rPr>
                <w:rFonts w:ascii="Arial" w:hAnsi="Arial" w:cs="Arial"/>
                <w:color w:val="010000"/>
                <w:sz w:val="20"/>
              </w:rPr>
              <w:t>/</w:t>
            </w:r>
            <w:r w:rsidRPr="005A325E">
              <w:rPr>
                <w:rFonts w:ascii="Arial" w:hAnsi="Arial" w:cs="Arial"/>
                <w:color w:val="010000"/>
                <w:sz w:val="20"/>
              </w:rPr>
              <w:t>2024</w:t>
            </w:r>
          </w:p>
        </w:tc>
      </w:tr>
      <w:tr w:rsidR="00A826D8" w:rsidRPr="005A325E" w14:paraId="7C82FCA3" w14:textId="77777777" w:rsidTr="005A325E">
        <w:tc>
          <w:tcPr>
            <w:tcW w:w="2393" w:type="pct"/>
            <w:gridSpan w:val="2"/>
            <w:shd w:val="clear" w:color="auto" w:fill="auto"/>
            <w:tcMar>
              <w:top w:w="0" w:type="dxa"/>
              <w:bottom w:w="0" w:type="dxa"/>
            </w:tcMar>
            <w:vAlign w:val="center"/>
          </w:tcPr>
          <w:p w14:paraId="004D882E"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Total</w:t>
            </w:r>
          </w:p>
        </w:tc>
        <w:tc>
          <w:tcPr>
            <w:tcW w:w="1247" w:type="pct"/>
            <w:shd w:val="clear" w:color="auto" w:fill="auto"/>
            <w:tcMar>
              <w:top w:w="0" w:type="dxa"/>
              <w:bottom w:w="0" w:type="dxa"/>
            </w:tcMar>
            <w:vAlign w:val="center"/>
          </w:tcPr>
          <w:p w14:paraId="396DEE94"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366,000,000,000</w:t>
            </w:r>
          </w:p>
        </w:tc>
        <w:tc>
          <w:tcPr>
            <w:tcW w:w="1360" w:type="pct"/>
            <w:shd w:val="clear" w:color="auto" w:fill="auto"/>
            <w:tcMar>
              <w:top w:w="0" w:type="dxa"/>
              <w:bottom w:w="0" w:type="dxa"/>
            </w:tcMar>
            <w:vAlign w:val="center"/>
          </w:tcPr>
          <w:p w14:paraId="49668181" w14:textId="77777777" w:rsidR="00A826D8" w:rsidRPr="005A325E" w:rsidRDefault="00A826D8" w:rsidP="005A325E">
            <w:pPr>
              <w:tabs>
                <w:tab w:val="left" w:pos="270"/>
                <w:tab w:val="left" w:pos="360"/>
              </w:tabs>
              <w:spacing w:after="120" w:line="360" w:lineRule="auto"/>
              <w:rPr>
                <w:rFonts w:ascii="Arial" w:eastAsia="Arial" w:hAnsi="Arial" w:cs="Arial"/>
                <w:color w:val="010000"/>
                <w:sz w:val="20"/>
                <w:szCs w:val="20"/>
              </w:rPr>
            </w:pPr>
          </w:p>
        </w:tc>
      </w:tr>
    </w:tbl>
    <w:p w14:paraId="4823040F"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Details of adjustment</w:t>
      </w:r>
      <w:r w:rsidRPr="005A325E">
        <w:rPr>
          <w:rFonts w:ascii="Arial" w:hAnsi="Arial" w:cs="Arial"/>
          <w:color w:val="010000"/>
          <w:sz w:val="20"/>
        </w:rPr>
        <w:t>:</w:t>
      </w:r>
    </w:p>
    <w:p w14:paraId="025F7D42"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 xml:space="preserve">Transfer VND </w:t>
      </w:r>
      <w:r w:rsidRPr="005A325E">
        <w:rPr>
          <w:rFonts w:ascii="Arial" w:hAnsi="Arial" w:cs="Arial"/>
          <w:color w:val="010000"/>
          <w:sz w:val="20"/>
        </w:rPr>
        <w:t>160,000,000,000</w:t>
      </w:r>
      <w:r w:rsidRPr="005A325E">
        <w:rPr>
          <w:rFonts w:ascii="Arial" w:hAnsi="Arial" w:cs="Arial"/>
          <w:color w:val="010000"/>
          <w:sz w:val="20"/>
        </w:rPr>
        <w:t xml:space="preserve"> in section </w:t>
      </w:r>
      <w:r w:rsidRPr="005A325E">
        <w:rPr>
          <w:rFonts w:ascii="Arial" w:hAnsi="Arial" w:cs="Arial"/>
          <w:color w:val="010000"/>
          <w:sz w:val="20"/>
        </w:rPr>
        <w:t>2</w:t>
      </w:r>
      <w:r w:rsidRPr="005A325E">
        <w:rPr>
          <w:rFonts w:ascii="Arial" w:hAnsi="Arial" w:cs="Arial"/>
          <w:color w:val="010000"/>
          <w:sz w:val="20"/>
        </w:rPr>
        <w:t xml:space="preserve"> of the original Plan</w:t>
      </w:r>
      <w:r w:rsidRPr="005A325E">
        <w:rPr>
          <w:rFonts w:ascii="Arial" w:hAnsi="Arial" w:cs="Arial"/>
          <w:color w:val="010000"/>
          <w:sz w:val="20"/>
        </w:rPr>
        <w:t>:</w:t>
      </w:r>
      <w:r w:rsidRPr="005A325E">
        <w:rPr>
          <w:rFonts w:ascii="Arial" w:hAnsi="Arial" w:cs="Arial"/>
          <w:color w:val="010000"/>
          <w:sz w:val="20"/>
        </w:rPr>
        <w:t xml:space="preserve"> </w:t>
      </w:r>
      <w:r w:rsidRPr="005A325E">
        <w:rPr>
          <w:rFonts w:ascii="Arial" w:hAnsi="Arial" w:cs="Arial"/>
          <w:color w:val="010000"/>
          <w:sz w:val="20"/>
        </w:rPr>
        <w:t>Pay the contractors providing technological equipments and construction of the Project of “The complex of Row house in Eastern Residential of Tran Hung Dao Street, Chi L</w:t>
      </w:r>
      <w:r w:rsidRPr="005A325E">
        <w:rPr>
          <w:rFonts w:ascii="Arial" w:hAnsi="Arial" w:cs="Arial"/>
          <w:color w:val="010000"/>
          <w:sz w:val="20"/>
        </w:rPr>
        <w:t xml:space="preserve">inh City, Hai Duong Province” to section </w:t>
      </w:r>
      <w:r w:rsidRPr="005A325E">
        <w:rPr>
          <w:rFonts w:ascii="Arial" w:hAnsi="Arial" w:cs="Arial"/>
          <w:color w:val="010000"/>
          <w:sz w:val="20"/>
        </w:rPr>
        <w:t>3:</w:t>
      </w:r>
      <w:r w:rsidRPr="005A325E">
        <w:rPr>
          <w:rFonts w:ascii="Arial" w:hAnsi="Arial" w:cs="Arial"/>
          <w:color w:val="010000"/>
          <w:sz w:val="20"/>
        </w:rPr>
        <w:t xml:space="preserve"> Supplement short-term working capital for the Company.</w:t>
      </w:r>
    </w:p>
    <w:p w14:paraId="2454FD3B" w14:textId="77777777" w:rsidR="00A826D8" w:rsidRPr="005A325E" w:rsidRDefault="005A325E" w:rsidP="005A325E">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5A325E">
        <w:rPr>
          <w:rFonts w:ascii="Arial" w:hAnsi="Arial" w:cs="Arial"/>
          <w:color w:val="010000"/>
          <w:sz w:val="20"/>
        </w:rPr>
        <w:t xml:space="preserve">The total amount of money changing in the purpose of capital use is VND </w:t>
      </w:r>
      <w:r w:rsidRPr="005A325E">
        <w:rPr>
          <w:rFonts w:ascii="Arial" w:hAnsi="Arial" w:cs="Arial"/>
          <w:color w:val="010000"/>
          <w:sz w:val="20"/>
        </w:rPr>
        <w:t>160,000,000,000</w:t>
      </w:r>
      <w:r w:rsidRPr="005A325E">
        <w:rPr>
          <w:rFonts w:ascii="Arial" w:hAnsi="Arial" w:cs="Arial"/>
          <w:color w:val="010000"/>
          <w:sz w:val="20"/>
        </w:rPr>
        <w:t xml:space="preserve">, account for </w:t>
      </w:r>
      <w:r w:rsidRPr="005A325E">
        <w:rPr>
          <w:rFonts w:ascii="Arial" w:hAnsi="Arial" w:cs="Arial"/>
          <w:color w:val="010000"/>
          <w:sz w:val="20"/>
        </w:rPr>
        <w:t>43.7</w:t>
      </w:r>
      <w:r w:rsidRPr="005A325E">
        <w:rPr>
          <w:rFonts w:ascii="Arial" w:hAnsi="Arial" w:cs="Arial"/>
          <w:color w:val="010000"/>
          <w:sz w:val="20"/>
        </w:rPr>
        <w:t>% of the total proceeds from the issuance.</w:t>
      </w:r>
    </w:p>
    <w:p w14:paraId="6B839960" w14:textId="77777777" w:rsidR="00A826D8" w:rsidRPr="005A325E" w:rsidRDefault="005A325E" w:rsidP="005A325E">
      <w:pPr>
        <w:numPr>
          <w:ilvl w:val="0"/>
          <w:numId w:val="7"/>
        </w:numPr>
        <w:pBdr>
          <w:top w:val="nil"/>
          <w:left w:val="nil"/>
          <w:bottom w:val="nil"/>
          <w:right w:val="nil"/>
          <w:between w:val="nil"/>
        </w:pBdr>
        <w:tabs>
          <w:tab w:val="left" w:pos="270"/>
          <w:tab w:val="left" w:pos="360"/>
          <w:tab w:val="left" w:pos="1099"/>
        </w:tabs>
        <w:spacing w:after="120" w:line="360" w:lineRule="auto"/>
        <w:rPr>
          <w:rFonts w:ascii="Arial" w:eastAsia="Arial" w:hAnsi="Arial" w:cs="Arial"/>
          <w:color w:val="010000"/>
          <w:sz w:val="20"/>
          <w:szCs w:val="20"/>
        </w:rPr>
      </w:pPr>
      <w:r w:rsidRPr="005A325E">
        <w:rPr>
          <w:rFonts w:ascii="Arial" w:hAnsi="Arial" w:cs="Arial"/>
          <w:color w:val="010000"/>
          <w:sz w:val="20"/>
        </w:rPr>
        <w:t>Reason fo</w:t>
      </w:r>
      <w:r w:rsidRPr="005A325E">
        <w:rPr>
          <w:rFonts w:ascii="Arial" w:hAnsi="Arial" w:cs="Arial"/>
          <w:color w:val="010000"/>
          <w:sz w:val="20"/>
        </w:rPr>
        <w:t>r the change</w:t>
      </w:r>
      <w:r w:rsidRPr="005A325E">
        <w:rPr>
          <w:rFonts w:ascii="Arial" w:hAnsi="Arial" w:cs="Arial"/>
          <w:color w:val="010000"/>
          <w:sz w:val="20"/>
        </w:rPr>
        <w:t>:</w:t>
      </w:r>
      <w:r w:rsidRPr="005A325E">
        <w:rPr>
          <w:rFonts w:ascii="Arial" w:hAnsi="Arial" w:cs="Arial"/>
          <w:color w:val="010000"/>
          <w:sz w:val="20"/>
        </w:rPr>
        <w:t xml:space="preserve"> The expected time for the implementation of the Project of “The complex of Row house in Eastern Residential of Tran Hung Dao Street, Chi Linh City, Hai Duong Province” is from Q</w:t>
      </w:r>
      <w:r w:rsidRPr="005A325E">
        <w:rPr>
          <w:rFonts w:ascii="Arial" w:hAnsi="Arial" w:cs="Arial"/>
          <w:color w:val="010000"/>
          <w:sz w:val="20"/>
        </w:rPr>
        <w:t>4</w:t>
      </w:r>
      <w:r w:rsidRPr="005A325E">
        <w:rPr>
          <w:rFonts w:ascii="Arial" w:hAnsi="Arial" w:cs="Arial"/>
          <w:color w:val="010000"/>
          <w:sz w:val="20"/>
        </w:rPr>
        <w:t>/</w:t>
      </w:r>
      <w:r w:rsidRPr="005A325E">
        <w:rPr>
          <w:rFonts w:ascii="Arial" w:hAnsi="Arial" w:cs="Arial"/>
          <w:color w:val="010000"/>
          <w:sz w:val="20"/>
        </w:rPr>
        <w:t>2021</w:t>
      </w:r>
      <w:r w:rsidRPr="005A325E">
        <w:rPr>
          <w:rFonts w:ascii="Arial" w:hAnsi="Arial" w:cs="Arial"/>
          <w:color w:val="010000"/>
          <w:sz w:val="20"/>
        </w:rPr>
        <w:t xml:space="preserve"> - </w:t>
      </w:r>
      <w:r w:rsidRPr="005A325E">
        <w:rPr>
          <w:rFonts w:ascii="Arial" w:hAnsi="Arial" w:cs="Arial"/>
          <w:color w:val="010000"/>
          <w:sz w:val="20"/>
        </w:rPr>
        <w:t>2024</w:t>
      </w:r>
      <w:r w:rsidRPr="005A325E">
        <w:rPr>
          <w:rFonts w:ascii="Arial" w:hAnsi="Arial" w:cs="Arial"/>
          <w:color w:val="010000"/>
          <w:sz w:val="20"/>
        </w:rPr>
        <w:t>, but until now, the premises have not been handed o</w:t>
      </w:r>
      <w:r w:rsidRPr="005A325E">
        <w:rPr>
          <w:rFonts w:ascii="Arial" w:hAnsi="Arial" w:cs="Arial"/>
          <w:color w:val="010000"/>
          <w:sz w:val="20"/>
        </w:rPr>
        <w:t>ver. Therefore, the investor has not been able to finish the infrastructure and hand over the premises to the contractors to implement the project; hence, the Company decided to change the purpose of capital use.</w:t>
      </w:r>
    </w:p>
    <w:p w14:paraId="329FD9A8" w14:textId="77777777" w:rsidR="00A826D8" w:rsidRPr="005A325E" w:rsidRDefault="005A325E" w:rsidP="005A325E">
      <w:pPr>
        <w:numPr>
          <w:ilvl w:val="0"/>
          <w:numId w:val="7"/>
        </w:numPr>
        <w:pBdr>
          <w:top w:val="nil"/>
          <w:left w:val="nil"/>
          <w:bottom w:val="nil"/>
          <w:right w:val="nil"/>
          <w:between w:val="nil"/>
        </w:pBdr>
        <w:tabs>
          <w:tab w:val="left" w:pos="270"/>
          <w:tab w:val="left" w:pos="360"/>
          <w:tab w:val="left" w:pos="1089"/>
        </w:tabs>
        <w:spacing w:after="120" w:line="360" w:lineRule="auto"/>
        <w:rPr>
          <w:rFonts w:ascii="Arial" w:eastAsia="Arial" w:hAnsi="Arial" w:cs="Arial"/>
          <w:color w:val="010000"/>
          <w:sz w:val="20"/>
          <w:szCs w:val="20"/>
        </w:rPr>
      </w:pPr>
      <w:r w:rsidRPr="005A325E">
        <w:rPr>
          <w:rFonts w:ascii="Arial" w:hAnsi="Arial" w:cs="Arial"/>
          <w:color w:val="010000"/>
          <w:sz w:val="20"/>
        </w:rPr>
        <w:t>Bases for changes</w:t>
      </w:r>
      <w:r w:rsidRPr="005A325E">
        <w:rPr>
          <w:rFonts w:ascii="Arial" w:hAnsi="Arial" w:cs="Arial"/>
          <w:color w:val="010000"/>
          <w:sz w:val="20"/>
        </w:rPr>
        <w:t>:</w:t>
      </w:r>
      <w:r w:rsidRPr="005A325E">
        <w:rPr>
          <w:rFonts w:ascii="Arial" w:hAnsi="Arial" w:cs="Arial"/>
          <w:color w:val="010000"/>
          <w:sz w:val="20"/>
        </w:rPr>
        <w:t xml:space="preserve"> </w:t>
      </w:r>
      <w:r w:rsidRPr="005A325E">
        <w:rPr>
          <w:rFonts w:ascii="Arial" w:hAnsi="Arial" w:cs="Arial"/>
          <w:color w:val="010000"/>
          <w:sz w:val="20"/>
        </w:rPr>
        <w:t xml:space="preserve">Resolution No. </w:t>
      </w:r>
      <w:r w:rsidRPr="005A325E">
        <w:rPr>
          <w:rFonts w:ascii="Arial" w:hAnsi="Arial" w:cs="Arial"/>
          <w:color w:val="010000"/>
          <w:sz w:val="20"/>
        </w:rPr>
        <w:t>2703</w:t>
      </w:r>
      <w:r w:rsidRPr="005A325E">
        <w:rPr>
          <w:rFonts w:ascii="Arial" w:hAnsi="Arial" w:cs="Arial"/>
          <w:color w:val="010000"/>
          <w:sz w:val="20"/>
        </w:rPr>
        <w:t>/</w:t>
      </w:r>
      <w:r w:rsidRPr="005A325E">
        <w:rPr>
          <w:rFonts w:ascii="Arial" w:hAnsi="Arial" w:cs="Arial"/>
          <w:color w:val="010000"/>
          <w:sz w:val="20"/>
        </w:rPr>
        <w:t>2024</w:t>
      </w:r>
      <w:r w:rsidRPr="005A325E">
        <w:rPr>
          <w:rFonts w:ascii="Arial" w:hAnsi="Arial" w:cs="Arial"/>
          <w:color w:val="010000"/>
          <w:sz w:val="20"/>
        </w:rPr>
        <w:t xml:space="preserve">/NQ/HDQT-AAV dated </w:t>
      </w:r>
      <w:r w:rsidRPr="005A325E">
        <w:rPr>
          <w:rFonts w:ascii="Arial" w:hAnsi="Arial" w:cs="Arial"/>
          <w:color w:val="010000"/>
          <w:sz w:val="20"/>
        </w:rPr>
        <w:t>March</w:t>
      </w:r>
      <w:r w:rsidRPr="005A325E">
        <w:rPr>
          <w:rFonts w:ascii="Arial" w:hAnsi="Arial" w:cs="Arial"/>
          <w:color w:val="010000"/>
          <w:sz w:val="20"/>
        </w:rPr>
        <w:t xml:space="preserve"> </w:t>
      </w:r>
      <w:r w:rsidRPr="005A325E">
        <w:rPr>
          <w:rFonts w:ascii="Arial" w:hAnsi="Arial" w:cs="Arial"/>
          <w:color w:val="010000"/>
          <w:sz w:val="20"/>
        </w:rPr>
        <w:t>27</w:t>
      </w:r>
      <w:r w:rsidRPr="005A325E">
        <w:rPr>
          <w:rFonts w:ascii="Arial" w:hAnsi="Arial" w:cs="Arial"/>
          <w:color w:val="010000"/>
          <w:sz w:val="20"/>
        </w:rPr>
        <w:t xml:space="preserve">, </w:t>
      </w:r>
      <w:r w:rsidRPr="005A325E">
        <w:rPr>
          <w:rFonts w:ascii="Arial" w:hAnsi="Arial" w:cs="Arial"/>
          <w:color w:val="010000"/>
          <w:sz w:val="20"/>
        </w:rPr>
        <w:t>2024</w:t>
      </w:r>
      <w:r w:rsidRPr="005A325E">
        <w:rPr>
          <w:rFonts w:ascii="Arial" w:hAnsi="Arial" w:cs="Arial"/>
          <w:color w:val="010000"/>
          <w:sz w:val="20"/>
        </w:rPr>
        <w:t xml:space="preserve"> of the Board of Directors of AAV Group JSC.</w:t>
      </w:r>
    </w:p>
    <w:sectPr w:rsidR="00A826D8" w:rsidRPr="005A325E" w:rsidSect="005A32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B69"/>
    <w:multiLevelType w:val="multilevel"/>
    <w:tmpl w:val="F15E502E"/>
    <w:lvl w:ilvl="0">
      <w:start w:val="1"/>
      <w:numFmt w:val="bullet"/>
      <w:lvlText w:val="-"/>
      <w:lvlJc w:val="left"/>
      <w:pPr>
        <w:ind w:left="0" w:firstLine="0"/>
      </w:pPr>
      <w:rPr>
        <w:rFonts w:ascii="Arial" w:eastAsia="Arial" w:hAnsi="Arial" w:cs="Arial"/>
        <w:b w:val="0"/>
        <w:i w:val="0"/>
        <w:smallCaps w:val="0"/>
        <w:strike w:val="0"/>
        <w:color w:val="4C525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85167C3"/>
    <w:multiLevelType w:val="multilevel"/>
    <w:tmpl w:val="E8048BEC"/>
    <w:lvl w:ilvl="0">
      <w:start w:val="1"/>
      <w:numFmt w:val="bullet"/>
      <w:lvlText w:val="-"/>
      <w:lvlJc w:val="left"/>
      <w:pPr>
        <w:ind w:left="0" w:firstLine="0"/>
      </w:pPr>
      <w:rPr>
        <w:rFonts w:ascii="Arial" w:eastAsia="Arial" w:hAnsi="Arial" w:cs="Arial"/>
        <w:b w:val="0"/>
        <w:i w:val="0"/>
        <w:smallCaps w:val="0"/>
        <w:strike w:val="0"/>
        <w:color w:val="4C525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252841"/>
    <w:multiLevelType w:val="multilevel"/>
    <w:tmpl w:val="F0A0F2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2077FAA"/>
    <w:multiLevelType w:val="multilevel"/>
    <w:tmpl w:val="C09EDF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FF2053"/>
    <w:multiLevelType w:val="multilevel"/>
    <w:tmpl w:val="149E2F9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5D1D9E"/>
    <w:multiLevelType w:val="multilevel"/>
    <w:tmpl w:val="E3BC28F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BB943F0"/>
    <w:multiLevelType w:val="multilevel"/>
    <w:tmpl w:val="06C863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A664CB2"/>
    <w:multiLevelType w:val="multilevel"/>
    <w:tmpl w:val="395855D0"/>
    <w:lvl w:ilvl="0">
      <w:start w:val="1"/>
      <w:numFmt w:val="bullet"/>
      <w:lvlText w:val="-"/>
      <w:lvlJc w:val="left"/>
      <w:pPr>
        <w:ind w:left="0" w:firstLine="0"/>
      </w:pPr>
      <w:rPr>
        <w:rFonts w:ascii="Arial" w:eastAsia="Arial" w:hAnsi="Arial" w:cs="Arial"/>
        <w:b w:val="0"/>
        <w:i w:val="0"/>
        <w:smallCaps w:val="0"/>
        <w:strike w:val="0"/>
        <w:color w:val="4C525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842552B"/>
    <w:multiLevelType w:val="multilevel"/>
    <w:tmpl w:val="583452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8"/>
  </w:num>
  <w:num w:numId="3">
    <w:abstractNumId w:val="3"/>
  </w:num>
  <w:num w:numId="4">
    <w:abstractNumId w:val="1"/>
  </w:num>
  <w:num w:numId="5">
    <w:abstractNumId w:val="2"/>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D8"/>
    <w:rsid w:val="005A325E"/>
    <w:rsid w:val="00A826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7EB8E"/>
  <w15:docId w15:val="{41493BC3-FD12-4633-81E9-EF7854E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2327"/>
      <w:sz w:val="11"/>
      <w:szCs w:val="1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2327"/>
      <w:sz w:val="9"/>
      <w:szCs w:val="9"/>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Arial" w:eastAsia="Arial" w:hAnsi="Arial" w:cs="Arial"/>
      <w:b/>
      <w:bCs/>
      <w:i w:val="0"/>
      <w:iCs w:val="0"/>
      <w:smallCaps w:val="0"/>
      <w:strike w:val="0"/>
      <w:color w:val="E66278"/>
      <w:sz w:val="16"/>
      <w:szCs w:val="16"/>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E66278"/>
      <w:sz w:val="30"/>
      <w:szCs w:val="3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66278"/>
      <w:sz w:val="22"/>
      <w:szCs w:val="22"/>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E66278"/>
      <w:sz w:val="14"/>
      <w:szCs w:val="14"/>
      <w:u w:val="none"/>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E66278"/>
      <w:sz w:val="34"/>
      <w:szCs w:val="34"/>
      <w:u w:val="none"/>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18" w:lineRule="auto"/>
    </w:pPr>
    <w:rPr>
      <w:rFonts w:ascii="Times New Roman" w:eastAsia="Times New Roman" w:hAnsi="Times New Roman" w:cs="Times New Roman"/>
      <w:color w:val="FF2327"/>
      <w:sz w:val="11"/>
      <w:szCs w:val="11"/>
    </w:rPr>
  </w:style>
  <w:style w:type="paragraph" w:customStyle="1" w:styleId="Bodytext30">
    <w:name w:val="Body text (3)"/>
    <w:basedOn w:val="Normal"/>
    <w:link w:val="Bodytext3"/>
    <w:rPr>
      <w:rFonts w:ascii="Times New Roman" w:eastAsia="Times New Roman" w:hAnsi="Times New Roman" w:cs="Times New Roman"/>
      <w:color w:val="FF2327"/>
      <w:sz w:val="9"/>
      <w:szCs w:val="9"/>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88" w:lineRule="auto"/>
      <w:ind w:firstLine="400"/>
    </w:pPr>
    <w:rPr>
      <w:rFonts w:ascii="Times New Roman" w:eastAsia="Times New Roman" w:hAnsi="Times New Roman" w:cs="Times New Roman"/>
    </w:rPr>
  </w:style>
  <w:style w:type="paragraph" w:customStyle="1" w:styleId="Bodytext60">
    <w:name w:val="Body text (6)"/>
    <w:basedOn w:val="Normal"/>
    <w:link w:val="Bodytext6"/>
    <w:rPr>
      <w:rFonts w:ascii="Arial" w:eastAsia="Arial" w:hAnsi="Arial" w:cs="Arial"/>
      <w:b/>
      <w:bCs/>
      <w:color w:val="E66278"/>
      <w:sz w:val="16"/>
      <w:szCs w:val="16"/>
    </w:rPr>
  </w:style>
  <w:style w:type="paragraph" w:customStyle="1" w:styleId="Heading21">
    <w:name w:val="Heading #2"/>
    <w:basedOn w:val="Normal"/>
    <w:link w:val="Heading20"/>
    <w:pPr>
      <w:jc w:val="right"/>
      <w:outlineLvl w:val="1"/>
    </w:pPr>
    <w:rPr>
      <w:rFonts w:ascii="Arial" w:eastAsia="Arial" w:hAnsi="Arial" w:cs="Arial"/>
      <w:color w:val="E66278"/>
      <w:sz w:val="30"/>
      <w:szCs w:val="30"/>
    </w:rPr>
  </w:style>
  <w:style w:type="paragraph" w:customStyle="1" w:styleId="Bodytext50">
    <w:name w:val="Body text (5)"/>
    <w:basedOn w:val="Normal"/>
    <w:link w:val="Bodytext5"/>
    <w:rPr>
      <w:rFonts w:ascii="Arial" w:eastAsia="Arial" w:hAnsi="Arial" w:cs="Arial"/>
      <w:color w:val="E66278"/>
      <w:sz w:val="22"/>
      <w:szCs w:val="22"/>
    </w:rPr>
  </w:style>
  <w:style w:type="paragraph" w:customStyle="1" w:styleId="Bodytext40">
    <w:name w:val="Body text (4)"/>
    <w:basedOn w:val="Normal"/>
    <w:link w:val="Bodytext4"/>
    <w:rPr>
      <w:rFonts w:ascii="Arial" w:eastAsia="Arial" w:hAnsi="Arial" w:cs="Arial"/>
      <w:b/>
      <w:bCs/>
      <w:color w:val="E66278"/>
      <w:sz w:val="14"/>
      <w:szCs w:val="14"/>
    </w:rPr>
  </w:style>
  <w:style w:type="paragraph" w:customStyle="1" w:styleId="Heading11">
    <w:name w:val="Heading #1"/>
    <w:basedOn w:val="Normal"/>
    <w:link w:val="Heading10"/>
    <w:pPr>
      <w:outlineLvl w:val="0"/>
    </w:pPr>
    <w:rPr>
      <w:rFonts w:ascii="Times New Roman" w:eastAsia="Times New Roman" w:hAnsi="Times New Roman" w:cs="Times New Roman"/>
      <w:i/>
      <w:iCs/>
      <w:color w:val="E66278"/>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Yh/59bUQNKyYuh47KT+omjNnjw==">CgMxLjA4AHIhMVVkZU9UdGVXUjhWcXVNYWl3anFXa09ycXI2N2Y1TTJa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2954</Characters>
  <Application>Microsoft Office Word</Application>
  <DocSecurity>0</DocSecurity>
  <Lines>123</Lines>
  <Paragraphs>70</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2024-04-02T03:51:00Z</dcterms:created>
  <dcterms:modified xsi:type="dcterms:W3CDTF">2024-04-03T03:15:00Z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0faf424bcc69a9c2064f132b2d8d2f98aa279023c81acc847013917e5da7d7ff</vt:lpwstr>
  </property>
</Properties>
</file>