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45FB" w:rsidRPr="0030114D" w:rsidRDefault="0030114D" w:rsidP="0030114D">
      <w:pPr>
        <w:pBdr>
          <w:top w:val="nil"/>
          <w:left w:val="nil"/>
          <w:bottom w:val="nil"/>
          <w:right w:val="nil"/>
          <w:between w:val="nil"/>
        </w:pBdr>
        <w:tabs>
          <w:tab w:val="left" w:pos="1442"/>
        </w:tabs>
        <w:spacing w:after="120" w:line="360" w:lineRule="auto"/>
        <w:rPr>
          <w:rFonts w:ascii="Arial" w:eastAsia="Arial" w:hAnsi="Arial" w:cs="Arial"/>
          <w:b/>
          <w:color w:val="010000"/>
          <w:sz w:val="20"/>
          <w:szCs w:val="20"/>
        </w:rPr>
      </w:pPr>
      <w:r w:rsidRPr="0030114D">
        <w:rPr>
          <w:rFonts w:ascii="Arial" w:hAnsi="Arial" w:cs="Arial"/>
          <w:b/>
          <w:color w:val="010000"/>
          <w:sz w:val="20"/>
        </w:rPr>
        <w:t>DPC</w:t>
      </w:r>
      <w:r w:rsidRPr="0030114D">
        <w:rPr>
          <w:rFonts w:ascii="Arial" w:hAnsi="Arial" w:cs="Arial"/>
          <w:b/>
          <w:color w:val="010000"/>
          <w:sz w:val="20"/>
        </w:rPr>
        <w:t>:</w:t>
      </w:r>
      <w:r w:rsidRPr="0030114D">
        <w:rPr>
          <w:rFonts w:ascii="Arial" w:hAnsi="Arial" w:cs="Arial"/>
          <w:b/>
          <w:color w:val="010000"/>
          <w:sz w:val="20"/>
        </w:rPr>
        <w:t xml:space="preserve"> </w:t>
      </w:r>
      <w:r w:rsidRPr="0030114D">
        <w:rPr>
          <w:rFonts w:ascii="Arial" w:hAnsi="Arial" w:cs="Arial"/>
          <w:b/>
          <w:color w:val="010000"/>
          <w:sz w:val="20"/>
        </w:rPr>
        <w:t xml:space="preserve">Respond on shares that are likely to be delisted </w:t>
      </w:r>
    </w:p>
    <w:p w14:paraId="00000002" w14:textId="77777777" w:rsidR="00A345FB" w:rsidRPr="0030114D" w:rsidRDefault="0030114D" w:rsidP="0030114D">
      <w:pPr>
        <w:pBdr>
          <w:top w:val="nil"/>
          <w:left w:val="nil"/>
          <w:bottom w:val="nil"/>
          <w:right w:val="nil"/>
          <w:between w:val="nil"/>
        </w:pBdr>
        <w:tabs>
          <w:tab w:val="left" w:pos="1442"/>
        </w:tabs>
        <w:spacing w:after="120" w:line="360" w:lineRule="auto"/>
        <w:rPr>
          <w:rFonts w:ascii="Arial" w:eastAsia="Arial" w:hAnsi="Arial" w:cs="Arial"/>
          <w:color w:val="010000"/>
          <w:sz w:val="20"/>
          <w:szCs w:val="20"/>
        </w:rPr>
      </w:pPr>
      <w:r w:rsidRPr="0030114D">
        <w:rPr>
          <w:rFonts w:ascii="Arial" w:hAnsi="Arial" w:cs="Arial"/>
          <w:color w:val="010000"/>
          <w:sz w:val="20"/>
        </w:rPr>
        <w:t xml:space="preserve">On </w:t>
      </w:r>
      <w:r w:rsidRPr="0030114D">
        <w:rPr>
          <w:rFonts w:ascii="Arial" w:hAnsi="Arial" w:cs="Arial"/>
          <w:color w:val="010000"/>
          <w:sz w:val="20"/>
        </w:rPr>
        <w:t>April</w:t>
      </w:r>
      <w:r w:rsidRPr="0030114D">
        <w:rPr>
          <w:rFonts w:ascii="Arial" w:hAnsi="Arial" w:cs="Arial"/>
          <w:color w:val="010000"/>
          <w:sz w:val="20"/>
        </w:rPr>
        <w:t xml:space="preserve"> </w:t>
      </w:r>
      <w:r w:rsidRPr="0030114D">
        <w:rPr>
          <w:rFonts w:ascii="Arial" w:hAnsi="Arial" w:cs="Arial"/>
          <w:color w:val="010000"/>
          <w:sz w:val="20"/>
        </w:rPr>
        <w:t>1</w:t>
      </w:r>
      <w:r w:rsidRPr="0030114D">
        <w:rPr>
          <w:rFonts w:ascii="Arial" w:hAnsi="Arial" w:cs="Arial"/>
          <w:color w:val="010000"/>
          <w:sz w:val="20"/>
        </w:rPr>
        <w:t xml:space="preserve">, </w:t>
      </w:r>
      <w:r w:rsidRPr="0030114D">
        <w:rPr>
          <w:rFonts w:ascii="Arial" w:hAnsi="Arial" w:cs="Arial"/>
          <w:color w:val="010000"/>
          <w:sz w:val="20"/>
        </w:rPr>
        <w:t>2024</w:t>
      </w:r>
      <w:r w:rsidRPr="0030114D">
        <w:rPr>
          <w:rFonts w:ascii="Arial" w:hAnsi="Arial" w:cs="Arial"/>
          <w:color w:val="010000"/>
          <w:sz w:val="20"/>
        </w:rPr>
        <w:t xml:space="preserve">, Da Nang Plastic JSC announced Official Dispatch No. </w:t>
      </w:r>
      <w:r w:rsidRPr="0030114D">
        <w:rPr>
          <w:rFonts w:ascii="Arial" w:hAnsi="Arial" w:cs="Arial"/>
          <w:color w:val="010000"/>
          <w:sz w:val="20"/>
        </w:rPr>
        <w:t>26</w:t>
      </w:r>
      <w:r w:rsidRPr="0030114D">
        <w:rPr>
          <w:rFonts w:ascii="Arial" w:hAnsi="Arial" w:cs="Arial"/>
          <w:color w:val="010000"/>
          <w:sz w:val="20"/>
        </w:rPr>
        <w:t>/CV-DPC/HDQT/</w:t>
      </w:r>
      <w:r w:rsidRPr="0030114D">
        <w:rPr>
          <w:rFonts w:ascii="Arial" w:hAnsi="Arial" w:cs="Arial"/>
          <w:color w:val="010000"/>
          <w:sz w:val="20"/>
        </w:rPr>
        <w:t>2024</w:t>
      </w:r>
      <w:r w:rsidRPr="0030114D">
        <w:rPr>
          <w:rFonts w:ascii="Arial" w:hAnsi="Arial" w:cs="Arial"/>
          <w:color w:val="010000"/>
          <w:sz w:val="20"/>
        </w:rPr>
        <w:t xml:space="preserve"> on responding to the possibility of DPC shares being delisted according to regulations as follows</w:t>
      </w:r>
      <w:r w:rsidRPr="0030114D">
        <w:rPr>
          <w:rFonts w:ascii="Arial" w:hAnsi="Arial" w:cs="Arial"/>
          <w:color w:val="010000"/>
          <w:sz w:val="20"/>
        </w:rPr>
        <w:t>:</w:t>
      </w:r>
      <w:r w:rsidRPr="0030114D">
        <w:rPr>
          <w:rFonts w:ascii="Arial" w:hAnsi="Arial" w:cs="Arial"/>
          <w:color w:val="010000"/>
          <w:sz w:val="20"/>
        </w:rPr>
        <w:t xml:space="preserve"> </w:t>
      </w:r>
    </w:p>
    <w:p w14:paraId="00000003" w14:textId="77777777" w:rsidR="00A345FB" w:rsidRPr="0030114D" w:rsidRDefault="0030114D" w:rsidP="0030114D">
      <w:pPr>
        <w:spacing w:after="120" w:line="360" w:lineRule="auto"/>
        <w:rPr>
          <w:rFonts w:ascii="Arial" w:eastAsia="Arial" w:hAnsi="Arial" w:cs="Arial"/>
          <w:color w:val="010000"/>
          <w:sz w:val="20"/>
          <w:szCs w:val="20"/>
        </w:rPr>
      </w:pPr>
      <w:r w:rsidRPr="0030114D">
        <w:rPr>
          <w:rFonts w:ascii="Arial" w:hAnsi="Arial" w:cs="Arial"/>
          <w:color w:val="010000"/>
          <w:sz w:val="20"/>
        </w:rPr>
        <w:t xml:space="preserve">As the recorded result in the Audited Financial Statements </w:t>
      </w:r>
      <w:r w:rsidRPr="0030114D">
        <w:rPr>
          <w:rFonts w:ascii="Arial" w:hAnsi="Arial" w:cs="Arial"/>
          <w:color w:val="010000"/>
          <w:sz w:val="20"/>
        </w:rPr>
        <w:t>2023</w:t>
      </w:r>
      <w:r w:rsidRPr="0030114D">
        <w:rPr>
          <w:rFonts w:ascii="Arial" w:hAnsi="Arial" w:cs="Arial"/>
          <w:color w:val="010000"/>
          <w:sz w:val="20"/>
        </w:rPr>
        <w:t>, t</w:t>
      </w:r>
      <w:r w:rsidRPr="0030114D">
        <w:rPr>
          <w:rFonts w:ascii="Arial" w:hAnsi="Arial" w:cs="Arial"/>
          <w:color w:val="010000"/>
          <w:sz w:val="20"/>
        </w:rPr>
        <w:t xml:space="preserve">he Company's total accumulated losses are (VND </w:t>
      </w:r>
      <w:r w:rsidRPr="0030114D">
        <w:rPr>
          <w:rFonts w:ascii="Arial" w:hAnsi="Arial" w:cs="Arial"/>
          <w:color w:val="010000"/>
          <w:sz w:val="20"/>
        </w:rPr>
        <w:t>23,930,255,200</w:t>
      </w:r>
      <w:r w:rsidRPr="0030114D">
        <w:rPr>
          <w:rFonts w:ascii="Arial" w:hAnsi="Arial" w:cs="Arial"/>
          <w:color w:val="010000"/>
          <w:sz w:val="20"/>
        </w:rPr>
        <w:t xml:space="preserve">), exceeding the actual contributed charter capital of VND </w:t>
      </w:r>
      <w:r w:rsidRPr="0030114D">
        <w:rPr>
          <w:rFonts w:ascii="Arial" w:hAnsi="Arial" w:cs="Arial"/>
          <w:color w:val="010000"/>
          <w:sz w:val="20"/>
        </w:rPr>
        <w:t>22,237,280,000</w:t>
      </w:r>
      <w:r w:rsidRPr="0030114D">
        <w:rPr>
          <w:rFonts w:ascii="Arial" w:hAnsi="Arial" w:cs="Arial"/>
          <w:color w:val="010000"/>
          <w:sz w:val="20"/>
        </w:rPr>
        <w:t>.</w:t>
      </w:r>
    </w:p>
    <w:p w14:paraId="00000004" w14:textId="77777777" w:rsidR="00A345FB" w:rsidRPr="0030114D" w:rsidRDefault="0030114D" w:rsidP="0030114D">
      <w:pPr>
        <w:spacing w:after="120" w:line="360" w:lineRule="auto"/>
        <w:rPr>
          <w:rFonts w:ascii="Arial" w:eastAsia="Arial" w:hAnsi="Arial" w:cs="Arial"/>
          <w:color w:val="010000"/>
          <w:sz w:val="20"/>
          <w:szCs w:val="20"/>
        </w:rPr>
      </w:pPr>
      <w:r w:rsidRPr="0030114D">
        <w:rPr>
          <w:rFonts w:ascii="Arial" w:hAnsi="Arial" w:cs="Arial"/>
          <w:color w:val="010000"/>
          <w:sz w:val="20"/>
        </w:rPr>
        <w:t>The Company plans to offset the total accumulated losses (VND -</w:t>
      </w:r>
      <w:r w:rsidRPr="0030114D">
        <w:rPr>
          <w:rFonts w:ascii="Arial" w:hAnsi="Arial" w:cs="Arial"/>
          <w:color w:val="010000"/>
          <w:sz w:val="20"/>
        </w:rPr>
        <w:t>23.9</w:t>
      </w:r>
      <w:r w:rsidRPr="0030114D">
        <w:rPr>
          <w:rFonts w:ascii="Arial" w:hAnsi="Arial" w:cs="Arial"/>
          <w:color w:val="010000"/>
          <w:sz w:val="20"/>
        </w:rPr>
        <w:t xml:space="preserve"> billion) from the Investment and Development Fund (V</w:t>
      </w:r>
      <w:r w:rsidRPr="0030114D">
        <w:rPr>
          <w:rFonts w:ascii="Arial" w:hAnsi="Arial" w:cs="Arial"/>
          <w:color w:val="010000"/>
          <w:sz w:val="20"/>
        </w:rPr>
        <w:t xml:space="preserve">ND </w:t>
      </w:r>
      <w:r w:rsidRPr="0030114D">
        <w:rPr>
          <w:rFonts w:ascii="Arial" w:hAnsi="Arial" w:cs="Arial"/>
          <w:color w:val="010000"/>
          <w:sz w:val="20"/>
        </w:rPr>
        <w:t>26.4</w:t>
      </w:r>
      <w:r w:rsidRPr="0030114D">
        <w:rPr>
          <w:rFonts w:ascii="Arial" w:hAnsi="Arial" w:cs="Arial"/>
          <w:color w:val="010000"/>
          <w:sz w:val="20"/>
        </w:rPr>
        <w:t xml:space="preserve"> billion) so that the accumulated losses in the Financial Statements do not exceed charter capital. However, according to the provisions of the Enterprise Law and the Accounting Law for joint stock companies, these accounting entries must be approve</w:t>
      </w:r>
      <w:r w:rsidRPr="0030114D">
        <w:rPr>
          <w:rFonts w:ascii="Arial" w:hAnsi="Arial" w:cs="Arial"/>
          <w:color w:val="010000"/>
          <w:sz w:val="20"/>
        </w:rPr>
        <w:t>d by the General Meeting of Shareholders.</w:t>
      </w:r>
    </w:p>
    <w:p w14:paraId="00000005" w14:textId="77777777" w:rsidR="00A345FB" w:rsidRPr="0030114D" w:rsidRDefault="0030114D" w:rsidP="0030114D">
      <w:pPr>
        <w:spacing w:after="120" w:line="360" w:lineRule="auto"/>
        <w:rPr>
          <w:rFonts w:ascii="Arial" w:eastAsia="Arial" w:hAnsi="Arial" w:cs="Arial"/>
          <w:color w:val="010000"/>
          <w:sz w:val="20"/>
          <w:szCs w:val="20"/>
        </w:rPr>
      </w:pPr>
      <w:r w:rsidRPr="0030114D">
        <w:rPr>
          <w:rFonts w:ascii="Arial" w:hAnsi="Arial" w:cs="Arial"/>
          <w:color w:val="010000"/>
          <w:sz w:val="20"/>
        </w:rPr>
        <w:t>Therefore, the Company would like to report to the State Securities Commission and Hanoi Stock Exchange</w:t>
      </w:r>
      <w:r w:rsidRPr="0030114D">
        <w:rPr>
          <w:rFonts w:ascii="Arial" w:hAnsi="Arial" w:cs="Arial"/>
          <w:color w:val="010000"/>
          <w:sz w:val="20"/>
        </w:rPr>
        <w:t>:</w:t>
      </w:r>
      <w:r w:rsidRPr="0030114D">
        <w:rPr>
          <w:rFonts w:ascii="Arial" w:hAnsi="Arial" w:cs="Arial"/>
          <w:color w:val="010000"/>
          <w:sz w:val="20"/>
        </w:rPr>
        <w:t xml:space="preserve"> After submitting to the Annual General Meeting of Shareholders </w:t>
      </w:r>
      <w:r w:rsidRPr="0030114D">
        <w:rPr>
          <w:rFonts w:ascii="Arial" w:hAnsi="Arial" w:cs="Arial"/>
          <w:color w:val="010000"/>
          <w:sz w:val="20"/>
        </w:rPr>
        <w:t>2024</w:t>
      </w:r>
      <w:r w:rsidRPr="0030114D">
        <w:rPr>
          <w:rFonts w:ascii="Arial" w:hAnsi="Arial" w:cs="Arial"/>
          <w:color w:val="010000"/>
          <w:sz w:val="20"/>
        </w:rPr>
        <w:t xml:space="preserve"> (expected on </w:t>
      </w:r>
      <w:r w:rsidRPr="0030114D">
        <w:rPr>
          <w:rFonts w:ascii="Arial" w:hAnsi="Arial" w:cs="Arial"/>
          <w:color w:val="010000"/>
          <w:sz w:val="20"/>
        </w:rPr>
        <w:t>April</w:t>
      </w:r>
      <w:r w:rsidRPr="0030114D">
        <w:rPr>
          <w:rFonts w:ascii="Arial" w:hAnsi="Arial" w:cs="Arial"/>
          <w:color w:val="010000"/>
          <w:sz w:val="20"/>
        </w:rPr>
        <w:t xml:space="preserve"> </w:t>
      </w:r>
      <w:r w:rsidRPr="0030114D">
        <w:rPr>
          <w:rFonts w:ascii="Arial" w:hAnsi="Arial" w:cs="Arial"/>
          <w:color w:val="010000"/>
          <w:sz w:val="20"/>
        </w:rPr>
        <w:t>26</w:t>
      </w:r>
      <w:r w:rsidRPr="0030114D">
        <w:rPr>
          <w:rFonts w:ascii="Arial" w:hAnsi="Arial" w:cs="Arial"/>
          <w:color w:val="010000"/>
          <w:sz w:val="20"/>
        </w:rPr>
        <w:t xml:space="preserve">, </w:t>
      </w:r>
      <w:r w:rsidRPr="0030114D">
        <w:rPr>
          <w:rFonts w:ascii="Arial" w:hAnsi="Arial" w:cs="Arial"/>
          <w:color w:val="010000"/>
          <w:sz w:val="20"/>
        </w:rPr>
        <w:t>2024</w:t>
      </w:r>
      <w:r w:rsidRPr="0030114D">
        <w:rPr>
          <w:rFonts w:ascii="Arial" w:hAnsi="Arial" w:cs="Arial"/>
          <w:color w:val="010000"/>
          <w:sz w:val="20"/>
        </w:rPr>
        <w:t>) for approval</w:t>
      </w:r>
      <w:r w:rsidRPr="0030114D">
        <w:rPr>
          <w:rFonts w:ascii="Arial" w:hAnsi="Arial" w:cs="Arial"/>
          <w:color w:val="010000"/>
          <w:sz w:val="20"/>
        </w:rPr>
        <w:t xml:space="preserve">, the Company will make accounting entries to adjust the total accumulated losses not exceeding the charter capital in accordance with the provisions of Point e, Clause </w:t>
      </w:r>
      <w:r w:rsidRPr="0030114D">
        <w:rPr>
          <w:rFonts w:ascii="Arial" w:hAnsi="Arial" w:cs="Arial"/>
          <w:color w:val="010000"/>
          <w:sz w:val="20"/>
        </w:rPr>
        <w:t>1</w:t>
      </w:r>
      <w:r w:rsidRPr="0030114D">
        <w:rPr>
          <w:rFonts w:ascii="Arial" w:hAnsi="Arial" w:cs="Arial"/>
          <w:color w:val="010000"/>
          <w:sz w:val="20"/>
        </w:rPr>
        <w:t xml:space="preserve">, Article </w:t>
      </w:r>
      <w:r w:rsidRPr="0030114D">
        <w:rPr>
          <w:rFonts w:ascii="Arial" w:hAnsi="Arial" w:cs="Arial"/>
          <w:color w:val="010000"/>
          <w:sz w:val="20"/>
        </w:rPr>
        <w:t>120</w:t>
      </w:r>
      <w:r w:rsidRPr="0030114D">
        <w:rPr>
          <w:rFonts w:ascii="Arial" w:hAnsi="Arial" w:cs="Arial"/>
          <w:color w:val="010000"/>
          <w:sz w:val="20"/>
        </w:rPr>
        <w:t xml:space="preserve"> of Decree </w:t>
      </w:r>
      <w:r w:rsidRPr="0030114D">
        <w:rPr>
          <w:rFonts w:ascii="Arial" w:hAnsi="Arial" w:cs="Arial"/>
          <w:color w:val="010000"/>
          <w:sz w:val="20"/>
        </w:rPr>
        <w:t>155</w:t>
      </w:r>
      <w:r w:rsidRPr="0030114D">
        <w:rPr>
          <w:rFonts w:ascii="Arial" w:hAnsi="Arial" w:cs="Arial"/>
          <w:color w:val="010000"/>
          <w:sz w:val="20"/>
        </w:rPr>
        <w:t>/</w:t>
      </w:r>
      <w:r w:rsidRPr="0030114D">
        <w:rPr>
          <w:rFonts w:ascii="Arial" w:hAnsi="Arial" w:cs="Arial"/>
          <w:color w:val="010000"/>
          <w:sz w:val="20"/>
        </w:rPr>
        <w:t>2020</w:t>
      </w:r>
      <w:r w:rsidRPr="0030114D">
        <w:rPr>
          <w:rFonts w:ascii="Arial" w:hAnsi="Arial" w:cs="Arial"/>
          <w:color w:val="010000"/>
          <w:sz w:val="20"/>
        </w:rPr>
        <w:t xml:space="preserve">/ND-CP. </w:t>
      </w:r>
    </w:p>
    <w:sectPr w:rsidR="00A345FB" w:rsidRPr="0030114D" w:rsidSect="003011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FB"/>
    <w:rsid w:val="0030114D"/>
    <w:rsid w:val="00A345F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rPr>
  </w:style>
  <w:style w:type="paragraph" w:customStyle="1" w:styleId="Other0">
    <w:name w:val="Other"/>
    <w:basedOn w:val="Normal"/>
    <w:link w:val="Other"/>
    <w:pPr>
      <w:spacing w:line="305" w:lineRule="auto"/>
      <w:ind w:firstLine="400"/>
    </w:pPr>
    <w:rPr>
      <w:rFonts w:ascii="Times New Roman" w:eastAsia="Times New Roman" w:hAnsi="Times New Roman" w:cs="Times New Roman"/>
    </w:rPr>
  </w:style>
  <w:style w:type="paragraph" w:customStyle="1" w:styleId="Bodytext30">
    <w:name w:val="Body text (3)"/>
    <w:basedOn w:val="Normal"/>
    <w:link w:val="Bodytext3"/>
    <w:pPr>
      <w:ind w:left="1040"/>
    </w:pPr>
    <w:rPr>
      <w:rFonts w:ascii="Arial" w:eastAsia="Arial" w:hAnsi="Arial" w:cs="Arial"/>
      <w:sz w:val="17"/>
      <w:szCs w:val="17"/>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customStyle="1" w:styleId="Heading11">
    <w:name w:val="Heading #1"/>
    <w:basedOn w:val="Normal"/>
    <w:link w:val="Heading10"/>
    <w:pPr>
      <w:outlineLvl w:val="0"/>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8qLcoY6U/5jIpcOmXP3IFdiEg==">CgMxLjA4AHIhMUZrVjNhQkNrVTJ1UzdhcUIzc29yUmpxeU04QlJYM2FI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1099</Characters>
  <Application>Microsoft Office Word</Application>
  <DocSecurity>0</DocSecurity>
  <Lines>33</Lines>
  <Paragraphs>25</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2024-04-02T04:29:00Z</dcterms:created>
  <dcterms:modified xsi:type="dcterms:W3CDTF">2024-04-03T03:19:00Z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8df3306ad9c80bb5e29d46c7080408a3ead57ce38c17f2f062ecfbc8b6736efc</vt:lpwstr>
  </property>
</Properties>
</file>