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8C6B71" w14:textId="77777777" w:rsidR="00DA5011" w:rsidRPr="00D70BF6" w:rsidRDefault="00FD3A53" w:rsidP="00FD3A53">
      <w:pPr>
        <w:keepNext/>
        <w:pBdr>
          <w:top w:val="nil"/>
          <w:left w:val="nil"/>
          <w:bottom w:val="nil"/>
          <w:right w:val="nil"/>
          <w:between w:val="nil"/>
        </w:pBdr>
        <w:tabs>
          <w:tab w:val="left" w:pos="432"/>
        </w:tabs>
        <w:spacing w:after="120" w:line="360" w:lineRule="auto"/>
        <w:rPr>
          <w:rFonts w:ascii="Arial" w:eastAsia="Arial" w:hAnsi="Arial" w:cs="Arial"/>
          <w:b/>
          <w:color w:val="010000"/>
          <w:sz w:val="20"/>
          <w:szCs w:val="20"/>
        </w:rPr>
      </w:pPr>
      <w:r w:rsidRPr="00D70BF6">
        <w:rPr>
          <w:rFonts w:ascii="Arial" w:hAnsi="Arial" w:cs="Arial"/>
          <w:b/>
          <w:color w:val="010000"/>
          <w:sz w:val="20"/>
        </w:rPr>
        <w:t>DTC: Annual General Mandate 2024</w:t>
      </w:r>
    </w:p>
    <w:p w14:paraId="6E02BC31" w14:textId="77777777" w:rsidR="00DA5011" w:rsidRPr="00D70BF6" w:rsidRDefault="00FD3A53" w:rsidP="00FD3A53">
      <w:pP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 xml:space="preserve">On March 28, 2024, </w:t>
      </w:r>
      <w:proofErr w:type="spellStart"/>
      <w:r w:rsidRPr="00D70BF6">
        <w:rPr>
          <w:rFonts w:ascii="Arial" w:hAnsi="Arial" w:cs="Arial"/>
          <w:color w:val="010000"/>
          <w:sz w:val="20"/>
        </w:rPr>
        <w:t>Viglacera</w:t>
      </w:r>
      <w:proofErr w:type="spellEnd"/>
      <w:r w:rsidRPr="00D70BF6">
        <w:rPr>
          <w:rFonts w:ascii="Arial" w:hAnsi="Arial" w:cs="Arial"/>
          <w:color w:val="010000"/>
          <w:sz w:val="20"/>
        </w:rPr>
        <w:t xml:space="preserve"> Dong Trieu JSC announced General Mandate No. 16/2024/NQ-DHDCD.DTC as follows:</w:t>
      </w:r>
    </w:p>
    <w:p w14:paraId="79FAA473" w14:textId="77777777" w:rsidR="00DA5011" w:rsidRPr="00D70BF6" w:rsidRDefault="00FD3A53" w:rsidP="00FD3A53">
      <w:pPr>
        <w:tabs>
          <w:tab w:val="left" w:pos="432"/>
        </w:tabs>
        <w:spacing w:after="120" w:line="360" w:lineRule="auto"/>
        <w:rPr>
          <w:rFonts w:ascii="Arial" w:eastAsia="Arial" w:hAnsi="Arial" w:cs="Arial"/>
          <w:color w:val="010000"/>
          <w:sz w:val="20"/>
          <w:szCs w:val="20"/>
        </w:rPr>
      </w:pPr>
      <w:bookmarkStart w:id="0" w:name="_heading=h.gjdgxs"/>
      <w:bookmarkEnd w:id="0"/>
      <w:r w:rsidRPr="00D70BF6">
        <w:rPr>
          <w:rFonts w:ascii="Arial" w:hAnsi="Arial" w:cs="Arial"/>
          <w:color w:val="010000"/>
          <w:sz w:val="20"/>
        </w:rPr>
        <w:t>‎‎Article 1. Approve the Report of the Board of Directors, Report of the Supervisory Board and Report on business and production results of the Board of Managers:</w:t>
      </w:r>
    </w:p>
    <w:p w14:paraId="1F83CB56" w14:textId="77777777" w:rsidR="00DA5011" w:rsidRPr="00D70BF6" w:rsidRDefault="00FD3A53" w:rsidP="00FD3A53">
      <w:pPr>
        <w:numPr>
          <w:ilvl w:val="0"/>
          <w:numId w:val="5"/>
        </w:numPr>
        <w:pBdr>
          <w:top w:val="nil"/>
          <w:left w:val="nil"/>
          <w:bottom w:val="nil"/>
          <w:right w:val="nil"/>
          <w:between w:val="nil"/>
        </w:pBdr>
        <w:tabs>
          <w:tab w:val="left" w:pos="432"/>
          <w:tab w:val="left" w:pos="1013"/>
        </w:tabs>
        <w:spacing w:after="120" w:line="360" w:lineRule="auto"/>
        <w:rPr>
          <w:rFonts w:ascii="Arial" w:eastAsia="Arial" w:hAnsi="Arial" w:cs="Arial"/>
          <w:color w:val="010000"/>
          <w:sz w:val="20"/>
          <w:szCs w:val="20"/>
        </w:rPr>
      </w:pPr>
      <w:r w:rsidRPr="00D70BF6">
        <w:rPr>
          <w:rFonts w:ascii="Arial" w:hAnsi="Arial" w:cs="Arial"/>
          <w:color w:val="010000"/>
          <w:sz w:val="20"/>
        </w:rPr>
        <w:t>Approve the Report of the Board of Directors on activity results in 2023;</w:t>
      </w:r>
    </w:p>
    <w:p w14:paraId="1E1C69F3" w14:textId="77777777" w:rsidR="00DA5011" w:rsidRPr="00D70BF6" w:rsidRDefault="00FD3A53" w:rsidP="00FD3A53">
      <w:pPr>
        <w:numPr>
          <w:ilvl w:val="0"/>
          <w:numId w:val="5"/>
        </w:numPr>
        <w:pBdr>
          <w:top w:val="nil"/>
          <w:left w:val="nil"/>
          <w:bottom w:val="nil"/>
          <w:right w:val="nil"/>
          <w:between w:val="nil"/>
        </w:pBdr>
        <w:tabs>
          <w:tab w:val="left" w:pos="432"/>
          <w:tab w:val="left" w:pos="1013"/>
        </w:tabs>
        <w:spacing w:after="120" w:line="360" w:lineRule="auto"/>
        <w:rPr>
          <w:rFonts w:ascii="Arial" w:eastAsia="Arial" w:hAnsi="Arial" w:cs="Arial"/>
          <w:color w:val="010000"/>
          <w:sz w:val="20"/>
          <w:szCs w:val="20"/>
        </w:rPr>
      </w:pPr>
      <w:r w:rsidRPr="00D70BF6">
        <w:rPr>
          <w:rFonts w:ascii="Arial" w:hAnsi="Arial" w:cs="Arial"/>
          <w:color w:val="010000"/>
          <w:sz w:val="20"/>
        </w:rPr>
        <w:t>Report of the Supervisory Board on activity results in 2023;</w:t>
      </w:r>
    </w:p>
    <w:p w14:paraId="43196299" w14:textId="77777777" w:rsidR="00DA5011" w:rsidRPr="00D70BF6" w:rsidRDefault="00FD3A53" w:rsidP="00FD3A53">
      <w:pPr>
        <w:numPr>
          <w:ilvl w:val="0"/>
          <w:numId w:val="5"/>
        </w:numPr>
        <w:pBdr>
          <w:top w:val="nil"/>
          <w:left w:val="nil"/>
          <w:bottom w:val="nil"/>
          <w:right w:val="nil"/>
          <w:between w:val="nil"/>
        </w:pBdr>
        <w:tabs>
          <w:tab w:val="left" w:pos="432"/>
          <w:tab w:val="left" w:pos="1013"/>
        </w:tabs>
        <w:spacing w:after="120" w:line="360" w:lineRule="auto"/>
        <w:rPr>
          <w:rFonts w:ascii="Arial" w:eastAsia="Arial" w:hAnsi="Arial" w:cs="Arial"/>
          <w:color w:val="010000"/>
          <w:sz w:val="20"/>
          <w:szCs w:val="20"/>
        </w:rPr>
      </w:pPr>
      <w:r w:rsidRPr="00D70BF6">
        <w:rPr>
          <w:rFonts w:ascii="Arial" w:hAnsi="Arial" w:cs="Arial"/>
          <w:color w:val="010000"/>
          <w:sz w:val="20"/>
        </w:rPr>
        <w:t>Report on activity results of the Board of Managers in 2023;</w:t>
      </w:r>
    </w:p>
    <w:p w14:paraId="3FE860D2" w14:textId="297EE732" w:rsidR="00DA5011" w:rsidRPr="00D70BF6" w:rsidRDefault="00FD3A53" w:rsidP="00FD3A53">
      <w:pPr>
        <w:pBdr>
          <w:top w:val="nil"/>
          <w:left w:val="nil"/>
          <w:bottom w:val="nil"/>
          <w:right w:val="nil"/>
          <w:between w:val="nil"/>
        </w:pBdr>
        <w:tabs>
          <w:tab w:val="left" w:pos="432"/>
          <w:tab w:val="left" w:pos="1013"/>
        </w:tabs>
        <w:spacing w:after="120" w:line="360" w:lineRule="auto"/>
        <w:rPr>
          <w:rFonts w:ascii="Arial" w:eastAsia="Arial" w:hAnsi="Arial" w:cs="Arial"/>
          <w:color w:val="010000"/>
          <w:sz w:val="20"/>
          <w:szCs w:val="20"/>
        </w:rPr>
      </w:pPr>
      <w:r w:rsidRPr="00D70BF6">
        <w:rPr>
          <w:rFonts w:ascii="Arial" w:hAnsi="Arial" w:cs="Arial"/>
          <w:color w:val="010000"/>
          <w:sz w:val="20"/>
        </w:rPr>
        <w:t>‎‎Article 2. The General Meeting of Shareholders approves the business and production results and the Financial Statements 2023 audited by AASC Auditing Firm Company Limited with main targets as follows:</w:t>
      </w:r>
    </w:p>
    <w:tbl>
      <w:tblPr>
        <w:tblStyle w:val="a"/>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626"/>
        <w:gridCol w:w="4952"/>
        <w:gridCol w:w="1302"/>
        <w:gridCol w:w="2137"/>
      </w:tblGrid>
      <w:tr w:rsidR="00DA5011" w:rsidRPr="00D70BF6" w14:paraId="0F3F5EBE" w14:textId="77777777" w:rsidTr="00FD3A53">
        <w:tc>
          <w:tcPr>
            <w:tcW w:w="347" w:type="pct"/>
            <w:shd w:val="clear" w:color="auto" w:fill="auto"/>
            <w:tcMar>
              <w:top w:w="0" w:type="dxa"/>
              <w:bottom w:w="0" w:type="dxa"/>
            </w:tcMar>
            <w:vAlign w:val="center"/>
          </w:tcPr>
          <w:p w14:paraId="50D73EF1"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No.</w:t>
            </w:r>
          </w:p>
        </w:tc>
        <w:tc>
          <w:tcPr>
            <w:tcW w:w="2746" w:type="pct"/>
            <w:shd w:val="clear" w:color="auto" w:fill="auto"/>
            <w:tcMar>
              <w:top w:w="0" w:type="dxa"/>
              <w:bottom w:w="0" w:type="dxa"/>
            </w:tcMar>
            <w:vAlign w:val="center"/>
          </w:tcPr>
          <w:p w14:paraId="6C96778B"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Targets</w:t>
            </w:r>
          </w:p>
        </w:tc>
        <w:tc>
          <w:tcPr>
            <w:tcW w:w="722" w:type="pct"/>
            <w:shd w:val="clear" w:color="auto" w:fill="auto"/>
            <w:tcMar>
              <w:top w:w="0" w:type="dxa"/>
              <w:bottom w:w="0" w:type="dxa"/>
            </w:tcMar>
            <w:vAlign w:val="center"/>
          </w:tcPr>
          <w:p w14:paraId="63750116"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Unit</w:t>
            </w:r>
          </w:p>
        </w:tc>
        <w:tc>
          <w:tcPr>
            <w:tcW w:w="1185" w:type="pct"/>
            <w:shd w:val="clear" w:color="auto" w:fill="auto"/>
            <w:tcMar>
              <w:top w:w="0" w:type="dxa"/>
              <w:bottom w:w="0" w:type="dxa"/>
            </w:tcMar>
            <w:vAlign w:val="center"/>
          </w:tcPr>
          <w:p w14:paraId="1AB790EC"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2023 Results</w:t>
            </w:r>
          </w:p>
        </w:tc>
      </w:tr>
      <w:tr w:rsidR="00DA5011" w:rsidRPr="00D70BF6" w14:paraId="79F4DBF4" w14:textId="77777777" w:rsidTr="00FD3A53">
        <w:tc>
          <w:tcPr>
            <w:tcW w:w="347" w:type="pct"/>
            <w:shd w:val="clear" w:color="auto" w:fill="auto"/>
            <w:tcMar>
              <w:top w:w="0" w:type="dxa"/>
              <w:bottom w:w="0" w:type="dxa"/>
            </w:tcMar>
            <w:vAlign w:val="center"/>
          </w:tcPr>
          <w:p w14:paraId="0D224A8F"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1</w:t>
            </w:r>
          </w:p>
        </w:tc>
        <w:tc>
          <w:tcPr>
            <w:tcW w:w="2746" w:type="pct"/>
            <w:shd w:val="clear" w:color="auto" w:fill="auto"/>
            <w:tcMar>
              <w:top w:w="0" w:type="dxa"/>
              <w:bottom w:w="0" w:type="dxa"/>
            </w:tcMar>
            <w:vAlign w:val="center"/>
          </w:tcPr>
          <w:p w14:paraId="779317E1"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Net revenue from goods sales and service provision</w:t>
            </w:r>
          </w:p>
        </w:tc>
        <w:tc>
          <w:tcPr>
            <w:tcW w:w="722" w:type="pct"/>
            <w:shd w:val="clear" w:color="auto" w:fill="auto"/>
            <w:tcMar>
              <w:top w:w="0" w:type="dxa"/>
              <w:bottom w:w="0" w:type="dxa"/>
            </w:tcMar>
            <w:vAlign w:val="center"/>
          </w:tcPr>
          <w:p w14:paraId="6107FAF6"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Million VND</w:t>
            </w:r>
          </w:p>
        </w:tc>
        <w:tc>
          <w:tcPr>
            <w:tcW w:w="1185" w:type="pct"/>
            <w:shd w:val="clear" w:color="auto" w:fill="auto"/>
            <w:tcMar>
              <w:top w:w="0" w:type="dxa"/>
              <w:bottom w:w="0" w:type="dxa"/>
            </w:tcMar>
            <w:vAlign w:val="center"/>
          </w:tcPr>
          <w:p w14:paraId="0A33A2AF"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181,339</w:t>
            </w:r>
          </w:p>
        </w:tc>
      </w:tr>
      <w:tr w:rsidR="00DA5011" w:rsidRPr="00D70BF6" w14:paraId="09BB0325" w14:textId="77777777" w:rsidTr="00FD3A53">
        <w:tc>
          <w:tcPr>
            <w:tcW w:w="347" w:type="pct"/>
            <w:shd w:val="clear" w:color="auto" w:fill="auto"/>
            <w:tcMar>
              <w:top w:w="0" w:type="dxa"/>
              <w:bottom w:w="0" w:type="dxa"/>
            </w:tcMar>
            <w:vAlign w:val="center"/>
          </w:tcPr>
          <w:p w14:paraId="41A70B50"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2</w:t>
            </w:r>
          </w:p>
        </w:tc>
        <w:tc>
          <w:tcPr>
            <w:tcW w:w="2746" w:type="pct"/>
            <w:shd w:val="clear" w:color="auto" w:fill="auto"/>
            <w:tcMar>
              <w:top w:w="0" w:type="dxa"/>
              <w:bottom w:w="0" w:type="dxa"/>
            </w:tcMar>
            <w:vAlign w:val="center"/>
          </w:tcPr>
          <w:p w14:paraId="4069D6A7"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Total profit before tax</w:t>
            </w:r>
          </w:p>
        </w:tc>
        <w:tc>
          <w:tcPr>
            <w:tcW w:w="722" w:type="pct"/>
            <w:shd w:val="clear" w:color="auto" w:fill="auto"/>
            <w:tcMar>
              <w:top w:w="0" w:type="dxa"/>
              <w:bottom w:w="0" w:type="dxa"/>
            </w:tcMar>
            <w:vAlign w:val="center"/>
          </w:tcPr>
          <w:p w14:paraId="375C8F4C"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Million VND</w:t>
            </w:r>
          </w:p>
        </w:tc>
        <w:tc>
          <w:tcPr>
            <w:tcW w:w="1185" w:type="pct"/>
            <w:shd w:val="clear" w:color="auto" w:fill="auto"/>
            <w:tcMar>
              <w:top w:w="0" w:type="dxa"/>
              <w:bottom w:w="0" w:type="dxa"/>
            </w:tcMar>
            <w:vAlign w:val="center"/>
          </w:tcPr>
          <w:p w14:paraId="74F22D26"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(43,605)</w:t>
            </w:r>
          </w:p>
        </w:tc>
      </w:tr>
    </w:tbl>
    <w:p w14:paraId="66744B20"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 xml:space="preserve">‎‎Article 3. The General Meeting of Shareholders approves the profit distribution in 2023 as follows: </w:t>
      </w:r>
    </w:p>
    <w:p w14:paraId="1672FCAB" w14:textId="77777777" w:rsidR="00DA5011" w:rsidRPr="00D70BF6" w:rsidRDefault="00FD3A53" w:rsidP="00FD3A53">
      <w:pPr>
        <w:numPr>
          <w:ilvl w:val="0"/>
          <w:numId w:val="3"/>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D70BF6">
        <w:rPr>
          <w:rFonts w:ascii="Arial" w:hAnsi="Arial" w:cs="Arial"/>
          <w:color w:val="010000"/>
          <w:sz w:val="20"/>
        </w:rPr>
        <w:t>Profit distribution:</w:t>
      </w:r>
    </w:p>
    <w:p w14:paraId="5453F121"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Because the Company's profit after tax in 2023 has a loss of VND 43,604,858,361, it is not eligible for distribution according to current legal regulations.</w:t>
      </w:r>
    </w:p>
    <w:p w14:paraId="335663FE" w14:textId="77777777" w:rsidR="00DA5011" w:rsidRPr="00D70BF6" w:rsidRDefault="00FD3A53" w:rsidP="00FD3A53">
      <w:pPr>
        <w:numPr>
          <w:ilvl w:val="0"/>
          <w:numId w:val="3"/>
        </w:numPr>
        <w:pBdr>
          <w:top w:val="nil"/>
          <w:left w:val="nil"/>
          <w:bottom w:val="nil"/>
          <w:right w:val="nil"/>
          <w:between w:val="nil"/>
        </w:pBdr>
        <w:tabs>
          <w:tab w:val="left" w:pos="360"/>
          <w:tab w:val="left" w:pos="432"/>
        </w:tabs>
        <w:spacing w:after="120" w:line="360" w:lineRule="auto"/>
        <w:ind w:left="0" w:firstLine="0"/>
        <w:rPr>
          <w:rFonts w:ascii="Arial" w:eastAsia="Arial" w:hAnsi="Arial" w:cs="Arial"/>
          <w:color w:val="010000"/>
          <w:sz w:val="20"/>
          <w:szCs w:val="20"/>
        </w:rPr>
      </w:pPr>
      <w:r w:rsidRPr="00D70BF6">
        <w:rPr>
          <w:rFonts w:ascii="Arial" w:hAnsi="Arial" w:cs="Arial"/>
          <w:color w:val="010000"/>
          <w:sz w:val="20"/>
        </w:rPr>
        <w:t>Dividend payment in 2023:</w:t>
      </w:r>
    </w:p>
    <w:p w14:paraId="1446DB6C"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 xml:space="preserve">Pursuant to Clause 3, Article 4 of the Annual General Mandate 2023 of </w:t>
      </w:r>
      <w:proofErr w:type="spellStart"/>
      <w:r w:rsidRPr="00D70BF6">
        <w:rPr>
          <w:rFonts w:ascii="Arial" w:hAnsi="Arial" w:cs="Arial"/>
          <w:color w:val="010000"/>
          <w:sz w:val="20"/>
        </w:rPr>
        <w:t>Viglacera</w:t>
      </w:r>
      <w:proofErr w:type="spellEnd"/>
      <w:r w:rsidRPr="00D70BF6">
        <w:rPr>
          <w:rFonts w:ascii="Arial" w:hAnsi="Arial" w:cs="Arial"/>
          <w:color w:val="010000"/>
          <w:sz w:val="20"/>
        </w:rPr>
        <w:t xml:space="preserve"> Dong Trieu JSC No. 09/2023/NQ-DHDCD.DTC dated March 29, 2023 on dividend payment plan in 2023. Due to a loss in production and business results of </w:t>
      </w:r>
      <w:proofErr w:type="spellStart"/>
      <w:r w:rsidRPr="00D70BF6">
        <w:rPr>
          <w:rFonts w:ascii="Arial" w:hAnsi="Arial" w:cs="Arial"/>
          <w:color w:val="010000"/>
          <w:sz w:val="20"/>
        </w:rPr>
        <w:t>Viglacera</w:t>
      </w:r>
      <w:proofErr w:type="spellEnd"/>
      <w:r w:rsidRPr="00D70BF6">
        <w:rPr>
          <w:rFonts w:ascii="Arial" w:hAnsi="Arial" w:cs="Arial"/>
          <w:color w:val="010000"/>
          <w:sz w:val="20"/>
        </w:rPr>
        <w:t xml:space="preserve"> Dong Trieu JSC in 2023, the Company will not pay dividends in 2023 because there is no source of payment.</w:t>
      </w:r>
    </w:p>
    <w:p w14:paraId="7D5C7108"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 xml:space="preserve">‎‎Article 4. The General Meeting of Shareholders approves the targets for production and business and investment plan for 2024 as follows: </w:t>
      </w:r>
    </w:p>
    <w:p w14:paraId="5E6945F4" w14:textId="77777777" w:rsidR="00DA5011" w:rsidRPr="00D70BF6" w:rsidRDefault="00FD3A53" w:rsidP="00FD3A53">
      <w:pPr>
        <w:numPr>
          <w:ilvl w:val="0"/>
          <w:numId w:val="4"/>
        </w:numPr>
        <w:pBdr>
          <w:top w:val="nil"/>
          <w:left w:val="nil"/>
          <w:bottom w:val="nil"/>
          <w:right w:val="nil"/>
          <w:between w:val="nil"/>
        </w:pBdr>
        <w:tabs>
          <w:tab w:val="left" w:pos="432"/>
        </w:tabs>
        <w:spacing w:after="120" w:line="360" w:lineRule="auto"/>
        <w:ind w:left="0" w:firstLine="0"/>
        <w:rPr>
          <w:rFonts w:ascii="Arial" w:eastAsia="Arial" w:hAnsi="Arial" w:cs="Arial"/>
          <w:color w:val="010000"/>
          <w:sz w:val="20"/>
          <w:szCs w:val="20"/>
        </w:rPr>
      </w:pPr>
      <w:r w:rsidRPr="00D70BF6">
        <w:rPr>
          <w:rFonts w:ascii="Arial" w:hAnsi="Arial" w:cs="Arial"/>
          <w:color w:val="010000"/>
          <w:sz w:val="20"/>
        </w:rPr>
        <w:t>Main plan targets:</w:t>
      </w:r>
    </w:p>
    <w:tbl>
      <w:tblPr>
        <w:tblStyle w:val="a0"/>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581"/>
        <w:gridCol w:w="4222"/>
        <w:gridCol w:w="1675"/>
        <w:gridCol w:w="2539"/>
      </w:tblGrid>
      <w:tr w:rsidR="00DA5011" w:rsidRPr="00D70BF6" w14:paraId="54B21926" w14:textId="77777777" w:rsidTr="00FD3A53">
        <w:tc>
          <w:tcPr>
            <w:tcW w:w="322" w:type="pct"/>
            <w:shd w:val="clear" w:color="auto" w:fill="auto"/>
            <w:tcMar>
              <w:top w:w="0" w:type="dxa"/>
              <w:bottom w:w="0" w:type="dxa"/>
            </w:tcMar>
            <w:vAlign w:val="center"/>
          </w:tcPr>
          <w:p w14:paraId="07AD79D6"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No.</w:t>
            </w:r>
          </w:p>
        </w:tc>
        <w:tc>
          <w:tcPr>
            <w:tcW w:w="2341" w:type="pct"/>
            <w:shd w:val="clear" w:color="auto" w:fill="auto"/>
            <w:tcMar>
              <w:top w:w="0" w:type="dxa"/>
              <w:bottom w:w="0" w:type="dxa"/>
            </w:tcMar>
            <w:vAlign w:val="center"/>
          </w:tcPr>
          <w:p w14:paraId="2527B234"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Targets</w:t>
            </w:r>
          </w:p>
        </w:tc>
        <w:tc>
          <w:tcPr>
            <w:tcW w:w="929" w:type="pct"/>
            <w:shd w:val="clear" w:color="auto" w:fill="auto"/>
            <w:tcMar>
              <w:top w:w="0" w:type="dxa"/>
              <w:bottom w:w="0" w:type="dxa"/>
            </w:tcMar>
            <w:vAlign w:val="center"/>
          </w:tcPr>
          <w:p w14:paraId="7EEC35DA"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Unit</w:t>
            </w:r>
          </w:p>
        </w:tc>
        <w:tc>
          <w:tcPr>
            <w:tcW w:w="1408" w:type="pct"/>
            <w:shd w:val="clear" w:color="auto" w:fill="auto"/>
            <w:tcMar>
              <w:top w:w="0" w:type="dxa"/>
              <w:bottom w:w="0" w:type="dxa"/>
            </w:tcMar>
            <w:vAlign w:val="center"/>
          </w:tcPr>
          <w:p w14:paraId="46DAD88B"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2024 Plan</w:t>
            </w:r>
          </w:p>
        </w:tc>
      </w:tr>
      <w:tr w:rsidR="00DA5011" w:rsidRPr="00D70BF6" w14:paraId="38969B17" w14:textId="77777777" w:rsidTr="00FD3A53">
        <w:tc>
          <w:tcPr>
            <w:tcW w:w="322" w:type="pct"/>
            <w:shd w:val="clear" w:color="auto" w:fill="auto"/>
            <w:tcMar>
              <w:top w:w="0" w:type="dxa"/>
              <w:bottom w:w="0" w:type="dxa"/>
            </w:tcMar>
            <w:vAlign w:val="center"/>
          </w:tcPr>
          <w:p w14:paraId="4F7B99AD"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1</w:t>
            </w:r>
          </w:p>
        </w:tc>
        <w:tc>
          <w:tcPr>
            <w:tcW w:w="2341" w:type="pct"/>
            <w:shd w:val="clear" w:color="auto" w:fill="auto"/>
            <w:tcMar>
              <w:top w:w="0" w:type="dxa"/>
              <w:bottom w:w="0" w:type="dxa"/>
            </w:tcMar>
            <w:vAlign w:val="center"/>
          </w:tcPr>
          <w:p w14:paraId="53C357A4"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Revenue</w:t>
            </w:r>
          </w:p>
        </w:tc>
        <w:tc>
          <w:tcPr>
            <w:tcW w:w="929" w:type="pct"/>
            <w:shd w:val="clear" w:color="auto" w:fill="auto"/>
            <w:tcMar>
              <w:top w:w="0" w:type="dxa"/>
              <w:bottom w:w="0" w:type="dxa"/>
            </w:tcMar>
            <w:vAlign w:val="center"/>
          </w:tcPr>
          <w:p w14:paraId="08060799"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Million VND</w:t>
            </w:r>
          </w:p>
        </w:tc>
        <w:tc>
          <w:tcPr>
            <w:tcW w:w="1408" w:type="pct"/>
            <w:shd w:val="clear" w:color="auto" w:fill="auto"/>
            <w:tcMar>
              <w:top w:w="0" w:type="dxa"/>
              <w:bottom w:w="0" w:type="dxa"/>
            </w:tcMar>
            <w:vAlign w:val="center"/>
          </w:tcPr>
          <w:p w14:paraId="6A5E23F7"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178,999</w:t>
            </w:r>
          </w:p>
        </w:tc>
      </w:tr>
      <w:tr w:rsidR="00DA5011" w:rsidRPr="00D70BF6" w14:paraId="7DDB7507" w14:textId="77777777" w:rsidTr="00FD3A53">
        <w:tc>
          <w:tcPr>
            <w:tcW w:w="322" w:type="pct"/>
            <w:shd w:val="clear" w:color="auto" w:fill="auto"/>
            <w:tcMar>
              <w:top w:w="0" w:type="dxa"/>
              <w:bottom w:w="0" w:type="dxa"/>
            </w:tcMar>
            <w:vAlign w:val="center"/>
          </w:tcPr>
          <w:p w14:paraId="04C88B77"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2</w:t>
            </w:r>
          </w:p>
        </w:tc>
        <w:tc>
          <w:tcPr>
            <w:tcW w:w="2341" w:type="pct"/>
            <w:shd w:val="clear" w:color="auto" w:fill="auto"/>
            <w:tcMar>
              <w:top w:w="0" w:type="dxa"/>
              <w:bottom w:w="0" w:type="dxa"/>
            </w:tcMar>
            <w:vAlign w:val="center"/>
          </w:tcPr>
          <w:p w14:paraId="1C9AF9FF"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Profit before tax</w:t>
            </w:r>
          </w:p>
        </w:tc>
        <w:tc>
          <w:tcPr>
            <w:tcW w:w="929" w:type="pct"/>
            <w:shd w:val="clear" w:color="auto" w:fill="auto"/>
            <w:tcMar>
              <w:top w:w="0" w:type="dxa"/>
              <w:bottom w:w="0" w:type="dxa"/>
            </w:tcMar>
            <w:vAlign w:val="center"/>
          </w:tcPr>
          <w:p w14:paraId="00757419"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Million VND</w:t>
            </w:r>
          </w:p>
        </w:tc>
        <w:tc>
          <w:tcPr>
            <w:tcW w:w="1408" w:type="pct"/>
            <w:shd w:val="clear" w:color="auto" w:fill="auto"/>
            <w:tcMar>
              <w:top w:w="0" w:type="dxa"/>
              <w:bottom w:w="0" w:type="dxa"/>
            </w:tcMar>
            <w:vAlign w:val="center"/>
          </w:tcPr>
          <w:p w14:paraId="34F388FF"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-30,080</w:t>
            </w:r>
          </w:p>
        </w:tc>
      </w:tr>
    </w:tbl>
    <w:p w14:paraId="67258371" w14:textId="77777777" w:rsidR="00DA5011" w:rsidRPr="00D70BF6" w:rsidRDefault="00FD3A53" w:rsidP="00FD3A53">
      <w:pPr>
        <w:numPr>
          <w:ilvl w:val="0"/>
          <w:numId w:val="6"/>
        </w:numPr>
        <w:pBdr>
          <w:top w:val="nil"/>
          <w:left w:val="nil"/>
          <w:bottom w:val="nil"/>
          <w:right w:val="nil"/>
          <w:between w:val="nil"/>
        </w:pBdr>
        <w:tabs>
          <w:tab w:val="left" w:pos="360"/>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Dividend payment plan for 2024: 0%</w:t>
      </w:r>
    </w:p>
    <w:p w14:paraId="25306BE1" w14:textId="77777777" w:rsidR="00DA5011" w:rsidRPr="00D70BF6" w:rsidRDefault="00FD3A53" w:rsidP="00FD3A53">
      <w:pPr>
        <w:numPr>
          <w:ilvl w:val="0"/>
          <w:numId w:val="6"/>
        </w:numPr>
        <w:pBdr>
          <w:top w:val="nil"/>
          <w:left w:val="nil"/>
          <w:bottom w:val="nil"/>
          <w:right w:val="nil"/>
          <w:between w:val="nil"/>
        </w:pBdr>
        <w:tabs>
          <w:tab w:val="left" w:pos="360"/>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Remuneration of the Board of Directors and the Supervisory Board: Pursuant to the production and business results in 2024, the Company's Board of Directors will submit to the Annual General Meeting of Shareholders 2025 for decision.</w:t>
      </w:r>
    </w:p>
    <w:p w14:paraId="4DA76ACF"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lastRenderedPageBreak/>
        <w:t>‎‎Article 5. Approve the election results of members of the Board of Directors and the Supervisory Board for the term of 2024-2029:</w:t>
      </w:r>
    </w:p>
    <w:p w14:paraId="2AB95966" w14:textId="77777777" w:rsidR="00DA5011" w:rsidRPr="00D70BF6" w:rsidRDefault="00FD3A53" w:rsidP="00FD3A53">
      <w:pPr>
        <w:numPr>
          <w:ilvl w:val="0"/>
          <w:numId w:val="1"/>
        </w:numPr>
        <w:pBdr>
          <w:top w:val="nil"/>
          <w:left w:val="nil"/>
          <w:bottom w:val="nil"/>
          <w:right w:val="nil"/>
          <w:between w:val="nil"/>
        </w:pBdr>
        <w:tabs>
          <w:tab w:val="left" w:pos="357"/>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The election results of members of the Board of Directors for the term of 2024-2029 include the following members:</w:t>
      </w:r>
    </w:p>
    <w:p w14:paraId="23A75B7F" w14:textId="77777777" w:rsidR="00DA5011" w:rsidRPr="00D70BF6" w:rsidRDefault="00FD3A53" w:rsidP="00FD3A53">
      <w:pPr>
        <w:numPr>
          <w:ilvl w:val="0"/>
          <w:numId w:val="2"/>
        </w:numPr>
        <w:pBdr>
          <w:top w:val="nil"/>
          <w:left w:val="nil"/>
          <w:bottom w:val="nil"/>
          <w:right w:val="nil"/>
          <w:between w:val="nil"/>
        </w:pBdr>
        <w:tabs>
          <w:tab w:val="left" w:pos="432"/>
          <w:tab w:val="left" w:pos="923"/>
        </w:tabs>
        <w:spacing w:after="120" w:line="360" w:lineRule="auto"/>
        <w:rPr>
          <w:rFonts w:ascii="Arial" w:eastAsia="Arial" w:hAnsi="Arial" w:cs="Arial"/>
          <w:color w:val="010000"/>
          <w:sz w:val="20"/>
          <w:szCs w:val="20"/>
        </w:rPr>
      </w:pPr>
      <w:r w:rsidRPr="00D70BF6">
        <w:rPr>
          <w:rFonts w:ascii="Arial" w:hAnsi="Arial" w:cs="Arial"/>
          <w:color w:val="010000"/>
          <w:sz w:val="20"/>
        </w:rPr>
        <w:t>Mr. Tran Hong Quang</w:t>
      </w:r>
    </w:p>
    <w:p w14:paraId="666DEEE0" w14:textId="77777777" w:rsidR="00DA5011" w:rsidRPr="00D70BF6" w:rsidRDefault="00FD3A53" w:rsidP="00FD3A53">
      <w:pPr>
        <w:numPr>
          <w:ilvl w:val="0"/>
          <w:numId w:val="2"/>
        </w:numPr>
        <w:pBdr>
          <w:top w:val="nil"/>
          <w:left w:val="nil"/>
          <w:bottom w:val="nil"/>
          <w:right w:val="nil"/>
          <w:between w:val="nil"/>
        </w:pBdr>
        <w:tabs>
          <w:tab w:val="left" w:pos="432"/>
          <w:tab w:val="left" w:pos="923"/>
        </w:tabs>
        <w:spacing w:after="120" w:line="360" w:lineRule="auto"/>
        <w:rPr>
          <w:rFonts w:ascii="Arial" w:eastAsia="Arial" w:hAnsi="Arial" w:cs="Arial"/>
          <w:color w:val="010000"/>
          <w:sz w:val="20"/>
          <w:szCs w:val="20"/>
        </w:rPr>
      </w:pPr>
      <w:r w:rsidRPr="00D70BF6">
        <w:rPr>
          <w:rFonts w:ascii="Arial" w:hAnsi="Arial" w:cs="Arial"/>
          <w:color w:val="010000"/>
          <w:sz w:val="20"/>
        </w:rPr>
        <w:t>Mr. Tran Thanh</w:t>
      </w:r>
    </w:p>
    <w:p w14:paraId="2271FC1E" w14:textId="77777777" w:rsidR="00DA5011" w:rsidRPr="00D70BF6" w:rsidRDefault="00FD3A53" w:rsidP="00FD3A53">
      <w:pPr>
        <w:numPr>
          <w:ilvl w:val="0"/>
          <w:numId w:val="2"/>
        </w:numPr>
        <w:pBdr>
          <w:top w:val="nil"/>
          <w:left w:val="nil"/>
          <w:bottom w:val="nil"/>
          <w:right w:val="nil"/>
          <w:between w:val="nil"/>
        </w:pBdr>
        <w:tabs>
          <w:tab w:val="left" w:pos="432"/>
          <w:tab w:val="left" w:pos="923"/>
        </w:tabs>
        <w:spacing w:after="120" w:line="360" w:lineRule="auto"/>
        <w:rPr>
          <w:rFonts w:ascii="Arial" w:eastAsia="Arial" w:hAnsi="Arial" w:cs="Arial"/>
          <w:color w:val="010000"/>
          <w:sz w:val="20"/>
          <w:szCs w:val="20"/>
        </w:rPr>
      </w:pPr>
      <w:r w:rsidRPr="00D70BF6">
        <w:rPr>
          <w:rFonts w:ascii="Arial" w:hAnsi="Arial" w:cs="Arial"/>
          <w:color w:val="010000"/>
          <w:sz w:val="20"/>
        </w:rPr>
        <w:t xml:space="preserve">Mr. Tran </w:t>
      </w:r>
      <w:proofErr w:type="spellStart"/>
      <w:r w:rsidRPr="00D70BF6">
        <w:rPr>
          <w:rFonts w:ascii="Arial" w:hAnsi="Arial" w:cs="Arial"/>
          <w:color w:val="010000"/>
          <w:sz w:val="20"/>
        </w:rPr>
        <w:t>Duy</w:t>
      </w:r>
      <w:proofErr w:type="spellEnd"/>
      <w:r w:rsidRPr="00D70BF6">
        <w:rPr>
          <w:rFonts w:ascii="Arial" w:hAnsi="Arial" w:cs="Arial"/>
          <w:color w:val="010000"/>
          <w:sz w:val="20"/>
        </w:rPr>
        <w:t xml:space="preserve"> Hung</w:t>
      </w:r>
    </w:p>
    <w:p w14:paraId="09E1BE3A" w14:textId="77777777" w:rsidR="00DA5011" w:rsidRPr="00D70BF6" w:rsidRDefault="00FD3A53" w:rsidP="00FD3A53">
      <w:pPr>
        <w:numPr>
          <w:ilvl w:val="0"/>
          <w:numId w:val="2"/>
        </w:numPr>
        <w:pBdr>
          <w:top w:val="nil"/>
          <w:left w:val="nil"/>
          <w:bottom w:val="nil"/>
          <w:right w:val="nil"/>
          <w:between w:val="nil"/>
        </w:pBdr>
        <w:tabs>
          <w:tab w:val="left" w:pos="432"/>
          <w:tab w:val="left" w:pos="923"/>
        </w:tabs>
        <w:spacing w:after="120" w:line="360" w:lineRule="auto"/>
        <w:rPr>
          <w:rFonts w:ascii="Arial" w:eastAsia="Arial" w:hAnsi="Arial" w:cs="Arial"/>
          <w:color w:val="010000"/>
          <w:sz w:val="20"/>
          <w:szCs w:val="20"/>
        </w:rPr>
      </w:pPr>
      <w:r w:rsidRPr="00D70BF6">
        <w:rPr>
          <w:rFonts w:ascii="Arial" w:hAnsi="Arial" w:cs="Arial"/>
          <w:color w:val="010000"/>
          <w:sz w:val="20"/>
        </w:rPr>
        <w:t xml:space="preserve">Mr. </w:t>
      </w:r>
      <w:proofErr w:type="spellStart"/>
      <w:r w:rsidRPr="00D70BF6">
        <w:rPr>
          <w:rFonts w:ascii="Arial" w:hAnsi="Arial" w:cs="Arial"/>
          <w:color w:val="010000"/>
          <w:sz w:val="20"/>
        </w:rPr>
        <w:t>Vuong</w:t>
      </w:r>
      <w:proofErr w:type="spellEnd"/>
      <w:r w:rsidRPr="00D70BF6">
        <w:rPr>
          <w:rFonts w:ascii="Arial" w:hAnsi="Arial" w:cs="Arial"/>
          <w:color w:val="010000"/>
          <w:sz w:val="20"/>
        </w:rPr>
        <w:t xml:space="preserve"> Van Sang</w:t>
      </w:r>
    </w:p>
    <w:p w14:paraId="344B7ACE" w14:textId="77777777" w:rsidR="00DA5011" w:rsidRPr="00D70BF6" w:rsidRDefault="00FD3A53" w:rsidP="00FD3A53">
      <w:pPr>
        <w:numPr>
          <w:ilvl w:val="0"/>
          <w:numId w:val="2"/>
        </w:numPr>
        <w:pBdr>
          <w:top w:val="nil"/>
          <w:left w:val="nil"/>
          <w:bottom w:val="nil"/>
          <w:right w:val="nil"/>
          <w:between w:val="nil"/>
        </w:pBdr>
        <w:tabs>
          <w:tab w:val="left" w:pos="432"/>
          <w:tab w:val="left" w:pos="923"/>
        </w:tabs>
        <w:spacing w:after="120" w:line="360" w:lineRule="auto"/>
        <w:rPr>
          <w:rFonts w:ascii="Arial" w:eastAsia="Arial" w:hAnsi="Arial" w:cs="Arial"/>
          <w:color w:val="010000"/>
          <w:sz w:val="20"/>
          <w:szCs w:val="20"/>
        </w:rPr>
      </w:pPr>
      <w:r w:rsidRPr="00D70BF6">
        <w:rPr>
          <w:rFonts w:ascii="Arial" w:hAnsi="Arial" w:cs="Arial"/>
          <w:color w:val="010000"/>
          <w:sz w:val="20"/>
        </w:rPr>
        <w:t>Mr. Ngo Thanh Tung</w:t>
      </w:r>
    </w:p>
    <w:p w14:paraId="4EB31278" w14:textId="77777777" w:rsidR="00DA5011" w:rsidRPr="00D70BF6" w:rsidRDefault="00FD3A53" w:rsidP="00FD3A53">
      <w:pPr>
        <w:numPr>
          <w:ilvl w:val="0"/>
          <w:numId w:val="2"/>
        </w:numPr>
        <w:pBdr>
          <w:top w:val="nil"/>
          <w:left w:val="nil"/>
          <w:bottom w:val="nil"/>
          <w:right w:val="nil"/>
          <w:between w:val="nil"/>
        </w:pBdr>
        <w:tabs>
          <w:tab w:val="left" w:pos="432"/>
          <w:tab w:val="left" w:pos="923"/>
        </w:tabs>
        <w:spacing w:after="120" w:line="360" w:lineRule="auto"/>
        <w:rPr>
          <w:rFonts w:ascii="Arial" w:eastAsia="Arial" w:hAnsi="Arial" w:cs="Arial"/>
          <w:color w:val="010000"/>
          <w:sz w:val="20"/>
          <w:szCs w:val="20"/>
        </w:rPr>
      </w:pPr>
      <w:r w:rsidRPr="00D70BF6">
        <w:rPr>
          <w:rFonts w:ascii="Arial" w:hAnsi="Arial" w:cs="Arial"/>
          <w:color w:val="010000"/>
          <w:sz w:val="20"/>
        </w:rPr>
        <w:t>Mr. Nguyen The Viet</w:t>
      </w:r>
    </w:p>
    <w:p w14:paraId="46D85312" w14:textId="77777777" w:rsidR="00DA5011" w:rsidRPr="00D70BF6" w:rsidRDefault="00FD3A53" w:rsidP="00FD3A53">
      <w:pPr>
        <w:numPr>
          <w:ilvl w:val="0"/>
          <w:numId w:val="2"/>
        </w:numPr>
        <w:pBdr>
          <w:top w:val="nil"/>
          <w:left w:val="nil"/>
          <w:bottom w:val="nil"/>
          <w:right w:val="nil"/>
          <w:between w:val="nil"/>
        </w:pBdr>
        <w:tabs>
          <w:tab w:val="left" w:pos="432"/>
          <w:tab w:val="left" w:pos="923"/>
        </w:tabs>
        <w:spacing w:after="120" w:line="360" w:lineRule="auto"/>
        <w:rPr>
          <w:rFonts w:ascii="Arial" w:eastAsia="Arial" w:hAnsi="Arial" w:cs="Arial"/>
          <w:color w:val="010000"/>
          <w:sz w:val="20"/>
          <w:szCs w:val="20"/>
        </w:rPr>
      </w:pPr>
      <w:r w:rsidRPr="00D70BF6">
        <w:rPr>
          <w:rFonts w:ascii="Arial" w:hAnsi="Arial" w:cs="Arial"/>
          <w:color w:val="010000"/>
          <w:sz w:val="20"/>
        </w:rPr>
        <w:t>Ms. Hoang Minh Ngoc</w:t>
      </w:r>
    </w:p>
    <w:p w14:paraId="73F7AC55"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The Board of Directors met in the first session and approved electing Mr. Tran Thanh to hold the position of Chair of the Board of Directors for the term of 2024-2029.</w:t>
      </w:r>
    </w:p>
    <w:p w14:paraId="7F9B2E10" w14:textId="77777777" w:rsidR="00DA5011" w:rsidRPr="00D70BF6" w:rsidRDefault="00FD3A53" w:rsidP="00FD3A53">
      <w:pPr>
        <w:numPr>
          <w:ilvl w:val="0"/>
          <w:numId w:val="1"/>
        </w:numPr>
        <w:pBdr>
          <w:top w:val="nil"/>
          <w:left w:val="nil"/>
          <w:bottom w:val="nil"/>
          <w:right w:val="nil"/>
          <w:between w:val="nil"/>
        </w:pBdr>
        <w:tabs>
          <w:tab w:val="left" w:pos="360"/>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The election results of members of the Supervisory Board for the term of 2024-2029 include the following members:</w:t>
      </w:r>
    </w:p>
    <w:p w14:paraId="7F431F4F" w14:textId="77777777" w:rsidR="00DA5011" w:rsidRPr="00D70BF6" w:rsidRDefault="00FD3A53" w:rsidP="00FD3A53">
      <w:pPr>
        <w:numPr>
          <w:ilvl w:val="0"/>
          <w:numId w:val="2"/>
        </w:numPr>
        <w:pBdr>
          <w:top w:val="nil"/>
          <w:left w:val="nil"/>
          <w:bottom w:val="nil"/>
          <w:right w:val="nil"/>
          <w:between w:val="nil"/>
        </w:pBdr>
        <w:tabs>
          <w:tab w:val="left" w:pos="432"/>
          <w:tab w:val="left" w:pos="923"/>
        </w:tabs>
        <w:spacing w:after="120" w:line="360" w:lineRule="auto"/>
        <w:rPr>
          <w:rFonts w:ascii="Arial" w:eastAsia="Arial" w:hAnsi="Arial" w:cs="Arial"/>
          <w:color w:val="010000"/>
          <w:sz w:val="20"/>
          <w:szCs w:val="20"/>
        </w:rPr>
      </w:pPr>
      <w:r w:rsidRPr="00D70BF6">
        <w:rPr>
          <w:rFonts w:ascii="Arial" w:hAnsi="Arial" w:cs="Arial"/>
          <w:color w:val="010000"/>
          <w:sz w:val="20"/>
        </w:rPr>
        <w:t>Mr. Pham Phung Duong</w:t>
      </w:r>
    </w:p>
    <w:p w14:paraId="4D151182" w14:textId="77777777" w:rsidR="00DA5011" w:rsidRPr="00D70BF6" w:rsidRDefault="00FD3A53" w:rsidP="00FD3A53">
      <w:pPr>
        <w:numPr>
          <w:ilvl w:val="0"/>
          <w:numId w:val="2"/>
        </w:numPr>
        <w:pBdr>
          <w:top w:val="nil"/>
          <w:left w:val="nil"/>
          <w:bottom w:val="nil"/>
          <w:right w:val="nil"/>
          <w:between w:val="nil"/>
        </w:pBdr>
        <w:tabs>
          <w:tab w:val="left" w:pos="432"/>
          <w:tab w:val="left" w:pos="923"/>
        </w:tabs>
        <w:spacing w:after="120" w:line="360" w:lineRule="auto"/>
        <w:rPr>
          <w:rFonts w:ascii="Arial" w:eastAsia="Arial" w:hAnsi="Arial" w:cs="Arial"/>
          <w:color w:val="010000"/>
          <w:sz w:val="20"/>
          <w:szCs w:val="20"/>
        </w:rPr>
      </w:pPr>
      <w:r w:rsidRPr="00D70BF6">
        <w:rPr>
          <w:rFonts w:ascii="Arial" w:hAnsi="Arial" w:cs="Arial"/>
          <w:color w:val="010000"/>
          <w:sz w:val="20"/>
        </w:rPr>
        <w:t>Mr. Pham Van Quynh</w:t>
      </w:r>
    </w:p>
    <w:p w14:paraId="3C4D9326" w14:textId="77777777" w:rsidR="00DA5011" w:rsidRPr="00D70BF6" w:rsidRDefault="00FD3A53" w:rsidP="00FD3A53">
      <w:pPr>
        <w:numPr>
          <w:ilvl w:val="0"/>
          <w:numId w:val="2"/>
        </w:numPr>
        <w:pBdr>
          <w:top w:val="nil"/>
          <w:left w:val="nil"/>
          <w:bottom w:val="nil"/>
          <w:right w:val="nil"/>
          <w:between w:val="nil"/>
        </w:pBdr>
        <w:tabs>
          <w:tab w:val="left" w:pos="432"/>
          <w:tab w:val="left" w:pos="923"/>
        </w:tabs>
        <w:spacing w:after="120" w:line="360" w:lineRule="auto"/>
        <w:rPr>
          <w:rFonts w:ascii="Arial" w:eastAsia="Arial" w:hAnsi="Arial" w:cs="Arial"/>
          <w:color w:val="010000"/>
          <w:sz w:val="20"/>
          <w:szCs w:val="20"/>
        </w:rPr>
      </w:pPr>
      <w:r w:rsidRPr="00D70BF6">
        <w:rPr>
          <w:rFonts w:ascii="Arial" w:hAnsi="Arial" w:cs="Arial"/>
          <w:color w:val="010000"/>
          <w:sz w:val="20"/>
        </w:rPr>
        <w:t>Mr. Bui Hai Dang</w:t>
      </w:r>
    </w:p>
    <w:p w14:paraId="0712FA5D"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The Supervisory Board met in the first session and approved electing Mr. Pham Phung Duong to hold the position of Chief of the Supervisory Board for the term of 2024-2029.</w:t>
      </w:r>
    </w:p>
    <w:p w14:paraId="7E1B884A"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‎‎Article 6. The General Meeting of Shareholders approves remuneration for the Board of Directors, the Supervisory Board and the Secretariat in 2023 as follows:</w:t>
      </w:r>
    </w:p>
    <w:p w14:paraId="01487C2B"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Production and business results in 2023 suffer a loss of VND 43,605 billion, so the Company will not pay remuneration to the Board of Directors, the Supervisory Board and the Company’s Secretariat in 2023.</w:t>
      </w:r>
    </w:p>
    <w:p w14:paraId="54D025B5"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 xml:space="preserve">‎‎Article 7. Approve the results of contract implementation in 2023 and approve the policy for </w:t>
      </w:r>
      <w:proofErr w:type="spellStart"/>
      <w:r w:rsidRPr="00D70BF6">
        <w:rPr>
          <w:rFonts w:ascii="Arial" w:hAnsi="Arial" w:cs="Arial"/>
          <w:color w:val="010000"/>
          <w:sz w:val="20"/>
        </w:rPr>
        <w:t>Viglacera</w:t>
      </w:r>
      <w:proofErr w:type="spellEnd"/>
      <w:r w:rsidRPr="00D70BF6">
        <w:rPr>
          <w:rFonts w:ascii="Arial" w:hAnsi="Arial" w:cs="Arial"/>
          <w:color w:val="010000"/>
          <w:sz w:val="20"/>
        </w:rPr>
        <w:t xml:space="preserve"> Dong Trieu JSC to sign sales and consumption contracts for products under the approval authority of the General Meeting of Shareholders:</w:t>
      </w:r>
    </w:p>
    <w:p w14:paraId="50437169"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The General Meeting of Shareholders approves:</w:t>
      </w:r>
    </w:p>
    <w:p w14:paraId="4662BA96" w14:textId="77777777" w:rsidR="00DA5011" w:rsidRPr="00D70BF6" w:rsidRDefault="00FD3A53" w:rsidP="00FD3A53">
      <w:pPr>
        <w:numPr>
          <w:ilvl w:val="0"/>
          <w:numId w:val="2"/>
        </w:numPr>
        <w:pBdr>
          <w:top w:val="nil"/>
          <w:left w:val="nil"/>
          <w:bottom w:val="nil"/>
          <w:right w:val="nil"/>
          <w:between w:val="nil"/>
        </w:pBdr>
        <w:tabs>
          <w:tab w:val="left" w:pos="432"/>
          <w:tab w:val="left" w:pos="939"/>
        </w:tabs>
        <w:spacing w:after="120" w:line="360" w:lineRule="auto"/>
        <w:rPr>
          <w:rFonts w:ascii="Arial" w:eastAsia="Arial" w:hAnsi="Arial" w:cs="Arial"/>
          <w:color w:val="010000"/>
          <w:sz w:val="20"/>
          <w:szCs w:val="20"/>
        </w:rPr>
      </w:pPr>
      <w:r w:rsidRPr="00D70BF6">
        <w:rPr>
          <w:rFonts w:ascii="Arial" w:hAnsi="Arial" w:cs="Arial"/>
          <w:color w:val="010000"/>
          <w:sz w:val="20"/>
        </w:rPr>
        <w:t xml:space="preserve">Approve the results of implementing the product purchase and sale contract with </w:t>
      </w:r>
      <w:proofErr w:type="spellStart"/>
      <w:r w:rsidRPr="00D70BF6">
        <w:rPr>
          <w:rFonts w:ascii="Arial" w:hAnsi="Arial" w:cs="Arial"/>
          <w:color w:val="010000"/>
          <w:sz w:val="20"/>
        </w:rPr>
        <w:t>Viglacera</w:t>
      </w:r>
      <w:proofErr w:type="spellEnd"/>
      <w:r w:rsidRPr="00D70BF6">
        <w:rPr>
          <w:rFonts w:ascii="Arial" w:hAnsi="Arial" w:cs="Arial"/>
          <w:color w:val="010000"/>
          <w:sz w:val="20"/>
        </w:rPr>
        <w:t xml:space="preserve"> Ha Long Trading Limited Company in 2023, the value of the implemented contract (Company's revenue from goods sales) is VND 176,033,454,840.</w:t>
      </w:r>
    </w:p>
    <w:p w14:paraId="549CE67B" w14:textId="77777777" w:rsidR="00DA5011" w:rsidRPr="00D70BF6" w:rsidRDefault="00FD3A53" w:rsidP="00FD3A53">
      <w:pPr>
        <w:numPr>
          <w:ilvl w:val="0"/>
          <w:numId w:val="2"/>
        </w:numPr>
        <w:pBdr>
          <w:top w:val="nil"/>
          <w:left w:val="nil"/>
          <w:bottom w:val="nil"/>
          <w:right w:val="nil"/>
          <w:between w:val="nil"/>
        </w:pBdr>
        <w:tabs>
          <w:tab w:val="left" w:pos="432"/>
          <w:tab w:val="left" w:pos="939"/>
        </w:tabs>
        <w:spacing w:after="120" w:line="360" w:lineRule="auto"/>
        <w:rPr>
          <w:rFonts w:ascii="Arial" w:eastAsia="Arial" w:hAnsi="Arial" w:cs="Arial"/>
          <w:color w:val="010000"/>
          <w:sz w:val="20"/>
          <w:szCs w:val="20"/>
        </w:rPr>
      </w:pPr>
      <w:r w:rsidRPr="00D70BF6">
        <w:rPr>
          <w:rFonts w:ascii="Arial" w:hAnsi="Arial" w:cs="Arial"/>
          <w:color w:val="010000"/>
          <w:sz w:val="20"/>
        </w:rPr>
        <w:t xml:space="preserve">Agree on the policy for </w:t>
      </w:r>
      <w:proofErr w:type="spellStart"/>
      <w:r w:rsidRPr="00D70BF6">
        <w:rPr>
          <w:rFonts w:ascii="Arial" w:hAnsi="Arial" w:cs="Arial"/>
          <w:color w:val="010000"/>
          <w:sz w:val="20"/>
        </w:rPr>
        <w:t>Viglacera</w:t>
      </w:r>
      <w:proofErr w:type="spellEnd"/>
      <w:r w:rsidRPr="00D70BF6">
        <w:rPr>
          <w:rFonts w:ascii="Arial" w:hAnsi="Arial" w:cs="Arial"/>
          <w:color w:val="010000"/>
          <w:sz w:val="20"/>
        </w:rPr>
        <w:t xml:space="preserve"> Dong Trieu JSC to sign a product purchase and sale contract </w:t>
      </w:r>
      <w:r w:rsidRPr="00D70BF6">
        <w:rPr>
          <w:rFonts w:ascii="Arial" w:hAnsi="Arial" w:cs="Arial"/>
          <w:color w:val="010000"/>
          <w:sz w:val="20"/>
        </w:rPr>
        <w:lastRenderedPageBreak/>
        <w:t xml:space="preserve">with </w:t>
      </w:r>
      <w:proofErr w:type="spellStart"/>
      <w:r w:rsidRPr="00D70BF6">
        <w:rPr>
          <w:rFonts w:ascii="Arial" w:hAnsi="Arial" w:cs="Arial"/>
          <w:color w:val="010000"/>
          <w:sz w:val="20"/>
        </w:rPr>
        <w:t>Viglacera</w:t>
      </w:r>
      <w:proofErr w:type="spellEnd"/>
      <w:r w:rsidRPr="00D70BF6">
        <w:rPr>
          <w:rFonts w:ascii="Arial" w:hAnsi="Arial" w:cs="Arial"/>
          <w:color w:val="010000"/>
          <w:sz w:val="20"/>
        </w:rPr>
        <w:t xml:space="preserve"> Ha Long Trading Limited Company. Assign the Company's Executive Manager to sign the purchase and sale contract in accordance with the provisions of law.</w:t>
      </w:r>
    </w:p>
    <w:p w14:paraId="2242DC4B"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‎‎Article 8. Approve the selection of an audit company for the Financial Statements 2024:</w:t>
      </w:r>
    </w:p>
    <w:p w14:paraId="7A09FA64"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The General Meeting of Shareholders authorizes the Board of Directors to decide to select an audit company for the Financial Statements 2024 as one of the companies named in the list of independent audit companies approved by the State Securities Commission.</w:t>
      </w:r>
    </w:p>
    <w:p w14:paraId="6BD7C3AA"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‎‎Article 9. Terms of enforcement</w:t>
      </w:r>
    </w:p>
    <w:p w14:paraId="4F7A3BFB" w14:textId="77777777" w:rsidR="00DA5011" w:rsidRPr="00D70BF6"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This General Mandate was made, announced and approved before all shareholders at 11.45 a.m. on March 28, 2024.</w:t>
      </w:r>
    </w:p>
    <w:p w14:paraId="1F5BE354" w14:textId="77777777" w:rsidR="00DA5011" w:rsidRPr="00FD3A53" w:rsidRDefault="00FD3A53" w:rsidP="00FD3A53">
      <w:pPr>
        <w:pBdr>
          <w:top w:val="nil"/>
          <w:left w:val="nil"/>
          <w:bottom w:val="nil"/>
          <w:right w:val="nil"/>
          <w:between w:val="nil"/>
        </w:pBdr>
        <w:tabs>
          <w:tab w:val="left" w:pos="432"/>
        </w:tabs>
        <w:spacing w:after="120" w:line="360" w:lineRule="auto"/>
        <w:rPr>
          <w:rFonts w:ascii="Arial" w:eastAsia="Arial" w:hAnsi="Arial" w:cs="Arial"/>
          <w:color w:val="010000"/>
          <w:sz w:val="20"/>
          <w:szCs w:val="20"/>
        </w:rPr>
      </w:pPr>
      <w:r w:rsidRPr="00D70BF6">
        <w:rPr>
          <w:rFonts w:ascii="Arial" w:hAnsi="Arial" w:cs="Arial"/>
          <w:color w:val="010000"/>
          <w:sz w:val="20"/>
        </w:rPr>
        <w:t>The General Meeting of Shareholders assigns the Board of Directors, the Supervisory Board, and the Board of Directors of the Company, based on the content of this General Mandate, to direct and organize its full implementation.</w:t>
      </w:r>
    </w:p>
    <w:sectPr w:rsidR="00DA5011" w:rsidRPr="00FD3A53" w:rsidSect="00FD3A53">
      <w:pgSz w:w="11907" w:h="16839"/>
      <w:pgMar w:top="1440" w:right="1440" w:bottom="1440" w:left="1440" w:header="0" w:footer="3" w:gutter="0"/>
      <w:pgNumType w:start="1"/>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0A0C92"/>
    <w:multiLevelType w:val="multilevel"/>
    <w:tmpl w:val="E7DC6A7A"/>
    <w:lvl w:ilvl="0">
      <w:start w:val="1"/>
      <w:numFmt w:val="decimal"/>
      <w:lvlText w:val="%1."/>
      <w:lvlJc w:val="left"/>
      <w:pPr>
        <w:ind w:left="720" w:hanging="360"/>
      </w:pPr>
      <w:rPr>
        <w:b w:val="0"/>
        <w:i w:val="0"/>
        <w:sz w:val="20"/>
      </w:rPr>
    </w:lvl>
    <w:lvl w:ilvl="1">
      <w:start w:val="1"/>
      <w:numFmt w:val="lowerLetter"/>
      <w:lvlText w:val="%2."/>
      <w:lvlJc w:val="left"/>
      <w:pPr>
        <w:ind w:left="1440" w:hanging="360"/>
      </w:pPr>
      <w:rPr>
        <w:b w:val="0"/>
        <w:i w:val="0"/>
        <w:sz w:val="20"/>
      </w:rPr>
    </w:lvl>
    <w:lvl w:ilvl="2">
      <w:start w:val="1"/>
      <w:numFmt w:val="lowerRoman"/>
      <w:lvlText w:val="%3."/>
      <w:lvlJc w:val="right"/>
      <w:pPr>
        <w:ind w:left="2160" w:hanging="180"/>
      </w:pPr>
      <w:rPr>
        <w:b w:val="0"/>
        <w:i w:val="0"/>
        <w:sz w:val="20"/>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FE66A5B"/>
    <w:multiLevelType w:val="multilevel"/>
    <w:tmpl w:val="C3E842C4"/>
    <w:lvl w:ilvl="0">
      <w:start w:val="1"/>
      <w:numFmt w:val="decimal"/>
      <w:lvlText w:val="%1."/>
      <w:lvlJc w:val="left"/>
      <w:pPr>
        <w:ind w:left="0" w:firstLine="0"/>
      </w:pPr>
      <w:rPr>
        <w:rFonts w:ascii="Arial" w:eastAsia="Arial" w:hAnsi="Arial" w:cs="Arial"/>
        <w:b w:val="0"/>
        <w:i w:val="0"/>
        <w:smallCaps w:val="0"/>
        <w:strike w:val="0"/>
        <w:color w:val="000000"/>
        <w:sz w:val="20"/>
        <w:szCs w:val="20"/>
        <w:u w:val="none"/>
        <w:shd w:val="clear" w:color="auto" w:fill="auto"/>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548C45C3"/>
    <w:multiLevelType w:val="multilevel"/>
    <w:tmpl w:val="FFFC0F58"/>
    <w:lvl w:ilvl="0">
      <w:start w:val="1"/>
      <w:numFmt w:val="decimal"/>
      <w:lvlText w:val="%1."/>
      <w:lvlJc w:val="left"/>
      <w:pPr>
        <w:ind w:left="0" w:firstLine="0"/>
      </w:pPr>
      <w:rPr>
        <w:rFonts w:ascii="Arial" w:eastAsia="Arial" w:hAnsi="Arial" w:cs="Arial"/>
        <w:b w:val="0"/>
        <w:i w:val="0"/>
        <w:smallCaps w:val="0"/>
        <w:strike w:val="0"/>
        <w:color w:val="000000"/>
        <w:sz w:val="20"/>
        <w:szCs w:val="20"/>
        <w:u w:val="none"/>
        <w:shd w:val="clear" w:color="auto" w:fill="auto"/>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6F7F1F6E"/>
    <w:multiLevelType w:val="multilevel"/>
    <w:tmpl w:val="CF42B214"/>
    <w:lvl w:ilvl="0">
      <w:start w:val="2"/>
      <w:numFmt w:val="decimal"/>
      <w:lvlText w:val="%1."/>
      <w:lvlJc w:val="left"/>
      <w:pPr>
        <w:ind w:left="0" w:firstLine="0"/>
      </w:pPr>
      <w:rPr>
        <w:rFonts w:ascii="Arial" w:eastAsia="Arial" w:hAnsi="Arial" w:cs="Arial"/>
        <w:b w:val="0"/>
        <w:i w:val="0"/>
        <w:smallCaps w:val="0"/>
        <w:strike w:val="0"/>
        <w:color w:val="000000"/>
        <w:sz w:val="20"/>
        <w:szCs w:val="20"/>
        <w:u w:val="none"/>
        <w:shd w:val="clear" w:color="auto" w:fill="auto"/>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79157284"/>
    <w:multiLevelType w:val="multilevel"/>
    <w:tmpl w:val="E51844BA"/>
    <w:lvl w:ilvl="0">
      <w:start w:val="1"/>
      <w:numFmt w:val="bullet"/>
      <w:lvlText w:val="-"/>
      <w:lvlJc w:val="left"/>
      <w:pPr>
        <w:ind w:left="0" w:firstLine="0"/>
      </w:pPr>
      <w:rPr>
        <w:rFonts w:ascii="Arial" w:eastAsia="Arial" w:hAnsi="Arial" w:cs="Arial"/>
        <w:b w:val="0"/>
        <w:i w:val="0"/>
        <w:smallCaps w:val="0"/>
        <w:strike w:val="0"/>
        <w:color w:val="000000"/>
        <w:sz w:val="20"/>
        <w:szCs w:val="20"/>
        <w:u w:val="none"/>
        <w:shd w:val="clear" w:color="auto" w:fill="auto"/>
        <w:vertAlign w:val="baseline"/>
      </w:rPr>
    </w:lvl>
    <w:lvl w:ilvl="1">
      <w:numFmt w:val="decimal"/>
      <w:lvlText w:val=""/>
      <w:lvlJc w:val="left"/>
      <w:pPr>
        <w:ind w:left="0" w:firstLine="0"/>
      </w:pPr>
      <w:rPr>
        <w:rFonts w:ascii="Arial" w:eastAsia="Arial" w:hAnsi="Arial" w:cs="Arial"/>
        <w:b w:val="0"/>
        <w:i w:val="0"/>
        <w:sz w:val="20"/>
        <w:szCs w:val="20"/>
      </w:rPr>
    </w:lvl>
    <w:lvl w:ilvl="2">
      <w:numFmt w:val="decimal"/>
      <w:lvlText w:val=""/>
      <w:lvlJc w:val="left"/>
      <w:pPr>
        <w:ind w:left="0" w:firstLine="0"/>
      </w:pPr>
      <w:rPr>
        <w:rFonts w:ascii="Arial" w:eastAsia="Arial" w:hAnsi="Arial" w:cs="Arial"/>
        <w:b w:val="0"/>
        <w:i w:val="0"/>
        <w:sz w:val="20"/>
        <w:szCs w:val="20"/>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796F6693"/>
    <w:multiLevelType w:val="multilevel"/>
    <w:tmpl w:val="FDA68CB8"/>
    <w:lvl w:ilvl="0">
      <w:start w:val="1"/>
      <w:numFmt w:val="decimal"/>
      <w:lvlText w:val="%1."/>
      <w:lvlJc w:val="left"/>
      <w:pPr>
        <w:ind w:left="720" w:hanging="360"/>
      </w:pPr>
      <w:rPr>
        <w:b w:val="0"/>
        <w:i w:val="0"/>
        <w:sz w:val="20"/>
      </w:rPr>
    </w:lvl>
    <w:lvl w:ilvl="1">
      <w:start w:val="1"/>
      <w:numFmt w:val="lowerLetter"/>
      <w:lvlText w:val="%2."/>
      <w:lvlJc w:val="left"/>
      <w:pPr>
        <w:ind w:left="1440" w:hanging="360"/>
      </w:pPr>
      <w:rPr>
        <w:b w:val="0"/>
        <w:i w:val="0"/>
        <w:sz w:val="20"/>
      </w:rPr>
    </w:lvl>
    <w:lvl w:ilvl="2">
      <w:start w:val="1"/>
      <w:numFmt w:val="lowerRoman"/>
      <w:lvlText w:val="%3."/>
      <w:lvlJc w:val="right"/>
      <w:pPr>
        <w:ind w:left="2160" w:hanging="180"/>
      </w:pPr>
      <w:rPr>
        <w:b w:val="0"/>
        <w:i w:val="0"/>
        <w:sz w:val="20"/>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4"/>
  </w:num>
  <w:num w:numId="3">
    <w:abstractNumId w:val="0"/>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5011"/>
    <w:rsid w:val="00D70BF6"/>
    <w:rsid w:val="00DA5011"/>
    <w:rsid w:val="00FD3A53"/>
  </w:rsids>
  <m:mathPr>
    <m:mathFont m:val="Cambria Math"/>
    <m:brkBin m:val="before"/>
    <m:brkBinSub m:val="--"/>
    <m:smallFrac m:val="0"/>
    <m:dispDef/>
    <m:lMargin m:val="0"/>
    <m:rMargin m:val="0"/>
    <m:defJc m:val="centerGroup"/>
    <m:wrapIndent m:val="1440"/>
    <m:intLim m:val="subSup"/>
    <m:naryLim m:val="undOvr"/>
  </m:mathPr>
  <w:themeFontLang w:val="vi-VN"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61B186"/>
  <w15:docId w15:val="{0851F743-30B3-44FE-ACDC-C69C37D20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ourier New" w:eastAsia="Courier New" w:hAnsi="Courier New" w:cs="Courier New"/>
        <w:sz w:val="24"/>
        <w:szCs w:val="24"/>
        <w:lang w:val="en-US" w:eastAsia="ja-JP"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0">
    <w:name w:val="Heading #1_"/>
    <w:basedOn w:val="DefaultParagraphFont"/>
    <w:link w:val="Heading11"/>
    <w:rPr>
      <w:rFonts w:ascii="Arial" w:eastAsia="Arial" w:hAnsi="Arial" w:cs="Arial"/>
      <w:b w:val="0"/>
      <w:bCs w:val="0"/>
      <w:i w:val="0"/>
      <w:iCs w:val="0"/>
      <w:smallCaps w:val="0"/>
      <w:strike w:val="0"/>
      <w:sz w:val="42"/>
      <w:szCs w:val="42"/>
      <w:u w:val="none"/>
      <w:shd w:val="clear" w:color="auto" w:fill="auto"/>
    </w:rPr>
  </w:style>
  <w:style w:type="character" w:customStyle="1" w:styleId="Bodytext2">
    <w:name w:val="Body text (2)_"/>
    <w:basedOn w:val="DefaultParagraphFont"/>
    <w:link w:val="Bodytext20"/>
    <w:rPr>
      <w:rFonts w:ascii="Arial" w:eastAsia="Arial" w:hAnsi="Arial" w:cs="Arial"/>
      <w:b/>
      <w:bCs/>
      <w:i w:val="0"/>
      <w:iCs w:val="0"/>
      <w:smallCaps w:val="0"/>
      <w:strike w:val="0"/>
      <w:sz w:val="8"/>
      <w:szCs w:val="8"/>
      <w:u w:val="none"/>
      <w:shd w:val="clear" w:color="auto" w:fill="auto"/>
    </w:rPr>
  </w:style>
  <w:style w:type="character" w:customStyle="1" w:styleId="Bodytext3">
    <w:name w:val="Body text (3)_"/>
    <w:basedOn w:val="DefaultParagraphFont"/>
    <w:link w:val="Bodytext30"/>
    <w:rPr>
      <w:rFonts w:ascii="Arial" w:eastAsia="Arial" w:hAnsi="Arial" w:cs="Arial"/>
      <w:b/>
      <w:bCs/>
      <w:i w:val="0"/>
      <w:iCs w:val="0"/>
      <w:smallCaps w:val="0"/>
      <w:strike w:val="0"/>
      <w:sz w:val="9"/>
      <w:szCs w:val="9"/>
      <w:u w:val="none"/>
      <w:shd w:val="clear" w:color="auto" w:fill="auto"/>
    </w:rPr>
  </w:style>
  <w:style w:type="character" w:customStyle="1" w:styleId="BodyTextChar">
    <w:name w:val="Body Text Char"/>
    <w:basedOn w:val="DefaultParagraphFont"/>
    <w:link w:val="BodyText"/>
    <w:rPr>
      <w:rFonts w:ascii="Times New Roman" w:eastAsia="Times New Roman" w:hAnsi="Times New Roman" w:cs="Times New Roman"/>
      <w:b w:val="0"/>
      <w:bCs w:val="0"/>
      <w:i w:val="0"/>
      <w:iCs w:val="0"/>
      <w:smallCaps w:val="0"/>
      <w:strike w:val="0"/>
      <w:u w:val="none"/>
      <w:shd w:val="clear" w:color="auto" w:fill="auto"/>
    </w:rPr>
  </w:style>
  <w:style w:type="character" w:customStyle="1" w:styleId="Tablecaption">
    <w:name w:val="Table caption_"/>
    <w:basedOn w:val="DefaultParagraphFont"/>
    <w:link w:val="Tablecaption0"/>
    <w:rPr>
      <w:rFonts w:ascii="Times New Roman" w:eastAsia="Times New Roman" w:hAnsi="Times New Roman" w:cs="Times New Roman"/>
      <w:b/>
      <w:bCs/>
      <w:i w:val="0"/>
      <w:iCs w:val="0"/>
      <w:smallCaps w:val="0"/>
      <w:strike w:val="0"/>
      <w:u w:val="none"/>
      <w:shd w:val="clear" w:color="auto" w:fill="auto"/>
    </w:rPr>
  </w:style>
  <w:style w:type="character" w:customStyle="1" w:styleId="Other">
    <w:name w:val="Other_"/>
    <w:basedOn w:val="DefaultParagraphFont"/>
    <w:link w:val="Other0"/>
    <w:rPr>
      <w:rFonts w:ascii="Times New Roman" w:eastAsia="Times New Roman" w:hAnsi="Times New Roman" w:cs="Times New Roman"/>
      <w:b w:val="0"/>
      <w:bCs w:val="0"/>
      <w:i w:val="0"/>
      <w:iCs w:val="0"/>
      <w:smallCaps w:val="0"/>
      <w:strike w:val="0"/>
      <w:u w:val="none"/>
      <w:shd w:val="clear" w:color="auto" w:fill="auto"/>
    </w:rPr>
  </w:style>
  <w:style w:type="character" w:customStyle="1" w:styleId="Bodytext4">
    <w:name w:val="Body text (4)_"/>
    <w:basedOn w:val="DefaultParagraphFont"/>
    <w:link w:val="Bodytext40"/>
    <w:rPr>
      <w:rFonts w:ascii="Times New Roman" w:eastAsia="Times New Roman" w:hAnsi="Times New Roman" w:cs="Times New Roman"/>
      <w:b w:val="0"/>
      <w:bCs w:val="0"/>
      <w:i w:val="0"/>
      <w:iCs w:val="0"/>
      <w:smallCaps/>
      <w:strike w:val="0"/>
      <w:sz w:val="28"/>
      <w:szCs w:val="28"/>
      <w:u w:val="none"/>
      <w:shd w:val="clear" w:color="auto" w:fill="auto"/>
    </w:rPr>
  </w:style>
  <w:style w:type="character" w:customStyle="1" w:styleId="Heading20">
    <w:name w:val="Heading #2_"/>
    <w:basedOn w:val="DefaultParagraphFont"/>
    <w:link w:val="Heading21"/>
    <w:rPr>
      <w:rFonts w:ascii="Times New Roman" w:eastAsia="Times New Roman" w:hAnsi="Times New Roman" w:cs="Times New Roman"/>
      <w:b/>
      <w:bCs/>
      <w:i w:val="0"/>
      <w:iCs w:val="0"/>
      <w:smallCaps w:val="0"/>
      <w:strike w:val="0"/>
      <w:sz w:val="32"/>
      <w:szCs w:val="32"/>
      <w:u w:val="none"/>
      <w:shd w:val="clear" w:color="auto" w:fill="auto"/>
    </w:rPr>
  </w:style>
  <w:style w:type="paragraph" w:customStyle="1" w:styleId="Heading11">
    <w:name w:val="Heading #1"/>
    <w:basedOn w:val="Normal"/>
    <w:link w:val="Heading10"/>
    <w:pPr>
      <w:outlineLvl w:val="0"/>
    </w:pPr>
    <w:rPr>
      <w:rFonts w:ascii="Arial" w:eastAsia="Arial" w:hAnsi="Arial" w:cs="Arial"/>
      <w:sz w:val="42"/>
      <w:szCs w:val="42"/>
    </w:rPr>
  </w:style>
  <w:style w:type="paragraph" w:customStyle="1" w:styleId="Bodytext20">
    <w:name w:val="Body text (2)"/>
    <w:basedOn w:val="Normal"/>
    <w:link w:val="Bodytext2"/>
    <w:pPr>
      <w:spacing w:line="271" w:lineRule="auto"/>
    </w:pPr>
    <w:rPr>
      <w:rFonts w:ascii="Arial" w:eastAsia="Arial" w:hAnsi="Arial" w:cs="Arial"/>
      <w:b/>
      <w:bCs/>
      <w:sz w:val="8"/>
      <w:szCs w:val="8"/>
    </w:rPr>
  </w:style>
  <w:style w:type="paragraph" w:customStyle="1" w:styleId="Bodytext30">
    <w:name w:val="Body text (3)"/>
    <w:basedOn w:val="Normal"/>
    <w:link w:val="Bodytext3"/>
    <w:rPr>
      <w:rFonts w:ascii="Arial" w:eastAsia="Arial" w:hAnsi="Arial" w:cs="Arial"/>
      <w:b/>
      <w:bCs/>
      <w:sz w:val="9"/>
      <w:szCs w:val="9"/>
    </w:rPr>
  </w:style>
  <w:style w:type="paragraph" w:styleId="BodyText">
    <w:name w:val="Body Text"/>
    <w:basedOn w:val="Normal"/>
    <w:link w:val="BodyTextChar"/>
    <w:qFormat/>
    <w:pPr>
      <w:ind w:firstLine="400"/>
    </w:pPr>
    <w:rPr>
      <w:rFonts w:ascii="Times New Roman" w:eastAsia="Times New Roman" w:hAnsi="Times New Roman" w:cs="Times New Roman"/>
    </w:rPr>
  </w:style>
  <w:style w:type="paragraph" w:customStyle="1" w:styleId="Tablecaption0">
    <w:name w:val="Table caption"/>
    <w:basedOn w:val="Normal"/>
    <w:link w:val="Tablecaption"/>
    <w:rPr>
      <w:rFonts w:ascii="Times New Roman" w:eastAsia="Times New Roman" w:hAnsi="Times New Roman" w:cs="Times New Roman"/>
      <w:b/>
      <w:bCs/>
    </w:rPr>
  </w:style>
  <w:style w:type="paragraph" w:customStyle="1" w:styleId="Other0">
    <w:name w:val="Other"/>
    <w:basedOn w:val="Normal"/>
    <w:link w:val="Other"/>
    <w:pPr>
      <w:ind w:firstLine="400"/>
    </w:pPr>
    <w:rPr>
      <w:rFonts w:ascii="Times New Roman" w:eastAsia="Times New Roman" w:hAnsi="Times New Roman" w:cs="Times New Roman"/>
    </w:rPr>
  </w:style>
  <w:style w:type="paragraph" w:customStyle="1" w:styleId="Bodytext40">
    <w:name w:val="Body text (4)"/>
    <w:basedOn w:val="Normal"/>
    <w:link w:val="Bodytext4"/>
    <w:pPr>
      <w:spacing w:line="192" w:lineRule="auto"/>
      <w:ind w:left="1800"/>
    </w:pPr>
    <w:rPr>
      <w:rFonts w:ascii="Times New Roman" w:eastAsia="Times New Roman" w:hAnsi="Times New Roman" w:cs="Times New Roman"/>
      <w:smallCaps/>
      <w:sz w:val="28"/>
      <w:szCs w:val="28"/>
    </w:rPr>
  </w:style>
  <w:style w:type="paragraph" w:customStyle="1" w:styleId="Heading21">
    <w:name w:val="Heading #2"/>
    <w:basedOn w:val="Normal"/>
    <w:link w:val="Heading20"/>
    <w:pPr>
      <w:spacing w:line="199" w:lineRule="auto"/>
      <w:jc w:val="center"/>
      <w:outlineLvl w:val="1"/>
    </w:pPr>
    <w:rPr>
      <w:rFonts w:ascii="Times New Roman" w:eastAsia="Times New Roman" w:hAnsi="Times New Roman" w:cs="Times New Roman"/>
      <w:b/>
      <w:bCs/>
      <w:sz w:val="32"/>
      <w:szCs w:val="32"/>
    </w:rPr>
  </w:style>
  <w:style w:type="paragraph" w:styleId="ListParagraph">
    <w:name w:val="List Paragraph"/>
    <w:basedOn w:val="Normal"/>
    <w:uiPriority w:val="34"/>
    <w:qFormat/>
    <w:rsid w:val="00CC3A09"/>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 w:type="dxa"/>
        <w:right w:w="10" w:type="dxa"/>
      </w:tblCellMar>
    </w:tblPr>
  </w:style>
  <w:style w:type="table" w:customStyle="1" w:styleId="a0">
    <w:basedOn w:val="TableNormal"/>
    <w:tblPr>
      <w:tblStyleRowBandSize w:val="1"/>
      <w:tblStyleColBandSize w:val="1"/>
      <w:tblCellMar>
        <w:left w:w="10" w:type="dxa"/>
        <w:right w:w="1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cvHc16Y7TB85Iey520wQrrrTGQ==">CgMxLjAyCGguZ2pkZ3hzOAByITFiQWUwRWk1RlVFSlZPdEZfYktzVlJRY1BycGE4cE5QZw==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798</Words>
  <Characters>3993</Characters>
  <Application>Microsoft Office Word</Application>
  <DocSecurity>0</DocSecurity>
  <Lines>33</Lines>
  <Paragraphs>9</Paragraphs>
  <ScaleCrop>false</ScaleCrop>
  <Company/>
  <LinksUpToDate>false</LinksUpToDate>
  <CharactersWithSpaces>4782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Đinh Thị Chung TA45A</cp:lastModifiedBy>
  <cp:revision>3</cp:revision>
  <dcterms:created xsi:type="dcterms:W3CDTF">2024-04-02T01:44:00Z</dcterms:created>
  <dcterms:modified xsi:type="dcterms:W3CDTF">2024-04-03T03:23:00Z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279d904927e154d7977ef975a3adde6110fe7f2cdae5a259e694a324c71f9bd0</vt:lpwstr>
  </property>
</Properties>
</file>