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03B2" w14:textId="77777777" w:rsidR="004615B7" w:rsidRPr="00A1749A" w:rsidRDefault="006A1860" w:rsidP="006A18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1749A">
        <w:rPr>
          <w:rFonts w:ascii="Arial" w:hAnsi="Arial" w:cs="Arial"/>
          <w:b/>
          <w:color w:val="010000"/>
          <w:sz w:val="20"/>
        </w:rPr>
        <w:t>DVN: Explanation on the combined profit after tax in 2023 compared to 2022</w:t>
      </w:r>
    </w:p>
    <w:p w14:paraId="5C8B92B6" w14:textId="77777777" w:rsidR="004615B7" w:rsidRPr="00A1749A" w:rsidRDefault="006A1860" w:rsidP="006A18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1749A">
        <w:rPr>
          <w:rFonts w:ascii="Arial" w:hAnsi="Arial" w:cs="Arial"/>
          <w:color w:val="010000"/>
          <w:sz w:val="20"/>
        </w:rPr>
        <w:t>On March 28, 2024, Viet Nam Pharmaceutical Corporation - Joint Stock Company announced Official Dispatch No. 105/TCTD-TCKT on explaining the combined profit after tax in 2023 changing compared to 2022 as follows: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485"/>
        <w:gridCol w:w="1632"/>
        <w:gridCol w:w="1865"/>
        <w:gridCol w:w="2023"/>
        <w:gridCol w:w="1773"/>
        <w:gridCol w:w="1239"/>
      </w:tblGrid>
      <w:tr w:rsidR="004615B7" w:rsidRPr="00A1749A" w14:paraId="318B905C" w14:textId="77777777" w:rsidTr="006A1860"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886C0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648CC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373CF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In 2023 (VND)</w:t>
            </w: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E7A6E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In 2022 (VND)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BAA92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4615B7" w:rsidRPr="00A1749A" w14:paraId="2B567ADF" w14:textId="77777777" w:rsidTr="006A1860"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DF3C9" w14:textId="77777777" w:rsidR="004615B7" w:rsidRPr="00A1749A" w:rsidRDefault="004615B7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E421B" w14:textId="77777777" w:rsidR="004615B7" w:rsidRPr="00A1749A" w:rsidRDefault="004615B7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AE8B7" w14:textId="77777777" w:rsidR="004615B7" w:rsidRPr="00A1749A" w:rsidRDefault="004615B7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E8555" w14:textId="77777777" w:rsidR="004615B7" w:rsidRPr="00A1749A" w:rsidRDefault="004615B7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DC0FB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13262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4615B7" w:rsidRPr="00A1749A" w14:paraId="1BB1C7BC" w14:textId="77777777" w:rsidTr="006A1860">
        <w:tc>
          <w:tcPr>
            <w:tcW w:w="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4895D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69225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17BB7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4195D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DBE41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(5)=(3)-(4)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8A9AB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(6)=(5)/(4)</w:t>
            </w:r>
          </w:p>
        </w:tc>
      </w:tr>
      <w:tr w:rsidR="004615B7" w:rsidRPr="00A1749A" w14:paraId="7F59FB7F" w14:textId="77777777" w:rsidTr="006A1860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83D22" w14:textId="77777777" w:rsidR="004615B7" w:rsidRPr="00A1749A" w:rsidRDefault="004615B7" w:rsidP="006A186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DFFEC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Combined profit after tax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FA78D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222,800,078,273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B8325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27,579,662,892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301BF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195,220,415,381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6FE63" w14:textId="77777777" w:rsidR="004615B7" w:rsidRPr="00A1749A" w:rsidRDefault="006A1860" w:rsidP="006A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1749A">
              <w:rPr>
                <w:rFonts w:ascii="Arial" w:hAnsi="Arial" w:cs="Arial"/>
                <w:color w:val="010000"/>
                <w:sz w:val="20"/>
              </w:rPr>
              <w:t>707.84%</w:t>
            </w:r>
          </w:p>
        </w:tc>
      </w:tr>
    </w:tbl>
    <w:p w14:paraId="3A1227AE" w14:textId="77777777" w:rsidR="004615B7" w:rsidRPr="00A1749A" w:rsidRDefault="006A1860" w:rsidP="006A18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1749A">
        <w:rPr>
          <w:rFonts w:ascii="Arial" w:hAnsi="Arial" w:cs="Arial"/>
          <w:color w:val="010000"/>
          <w:sz w:val="20"/>
        </w:rPr>
        <w:t>The main reasons leading to the difference in combined profit after tax compared to the same period last year of the Corporation:</w:t>
      </w:r>
    </w:p>
    <w:p w14:paraId="65891174" w14:textId="77777777" w:rsidR="004615B7" w:rsidRPr="00A1749A" w:rsidRDefault="006A1860" w:rsidP="006A1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1749A">
        <w:rPr>
          <w:rFonts w:ascii="Arial" w:hAnsi="Arial" w:cs="Arial"/>
          <w:color w:val="010000"/>
          <w:sz w:val="20"/>
        </w:rPr>
        <w:t>Financial expenses in 2023 decreased compared to 2022: Due to share price fluctuations of a number of companies with investment capital of the Corporation on the stock exchange, the Corporation's expenses for provisioning for financial investment losses in 2023 are lower than those in 2022.</w:t>
      </w:r>
    </w:p>
    <w:p w14:paraId="566F87C6" w14:textId="77777777" w:rsidR="004615B7" w:rsidRPr="00A1749A" w:rsidRDefault="006A1860" w:rsidP="006A1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1749A">
        <w:rPr>
          <w:rFonts w:ascii="Arial" w:hAnsi="Arial" w:cs="Arial"/>
          <w:color w:val="010000"/>
          <w:sz w:val="20"/>
        </w:rPr>
        <w:t xml:space="preserve">Revenue from financial activities (dividends) in 2023 is higher than in 2022: The recognition of revenue from dividends depends on each unit's annual dividend payment plan. In 2023, some units with contributed capital of the Corporation paid higher dividends than in 2022. </w:t>
      </w:r>
    </w:p>
    <w:sectPr w:rsidR="004615B7" w:rsidRPr="00A1749A" w:rsidSect="006A186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3D5"/>
    <w:multiLevelType w:val="multilevel"/>
    <w:tmpl w:val="6F14EA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B7"/>
    <w:rsid w:val="004615B7"/>
    <w:rsid w:val="006A1860"/>
    <w:rsid w:val="00A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423D7"/>
  <w15:docId w15:val="{86F943B7-019D-4125-9F82-D609686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6030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60300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Times New Roman" w:eastAsia="Times New Roman" w:hAnsi="Times New Roman" w:cs="Times New Roman"/>
      <w:color w:val="F60300"/>
      <w:sz w:val="16"/>
      <w:szCs w:val="1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20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color w:val="F60300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GJlnDkINjPfG6sfpPz7ibnSgg==">CgMxLjA4AHIhMUc0M0daRkdFNEFRTXBZS0hVSTFIUUFvNlpYb1gwU3VN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1000</Characters>
  <Application>Microsoft Office Word</Application>
  <DocSecurity>0</DocSecurity>
  <Lines>38</Lines>
  <Paragraphs>26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2024-04-02T04:24:00Z</dcterms:created>
  <dcterms:modified xsi:type="dcterms:W3CDTF">2024-04-03T01:36:00Z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67650051a1b271b91ffeb2b5b95ba522523e5ebebc6580de712e497193ce96a1</vt:lpwstr>
  </property>
</Properties>
</file>