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B229" w14:textId="77777777" w:rsidR="00743302" w:rsidRPr="002B5CCC" w:rsidRDefault="00A92947" w:rsidP="00A929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B5CCC">
        <w:rPr>
          <w:rFonts w:ascii="Arial" w:hAnsi="Arial" w:cs="Arial"/>
          <w:b/>
          <w:color w:val="010000"/>
          <w:sz w:val="20"/>
        </w:rPr>
        <w:t>DVN: Explanation on the consolidated profit after tax in 2023 compared to 2022</w:t>
      </w:r>
    </w:p>
    <w:p w14:paraId="4441849E" w14:textId="77777777" w:rsidR="00743302" w:rsidRPr="002B5CCC" w:rsidRDefault="00A92947" w:rsidP="00A929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5CCC">
        <w:rPr>
          <w:rFonts w:ascii="Arial" w:hAnsi="Arial" w:cs="Arial"/>
          <w:color w:val="010000"/>
          <w:sz w:val="20"/>
        </w:rPr>
        <w:t xml:space="preserve">On March 29, 2024, Viet Nam Pharmaceutical Corporation - Joint Stock Company announced Official Dispatch No. 1166/TCTD-TCKT on explaining the change in consolidated profit after tax in 2023 compared to 2022 as follows: 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00"/>
        <w:gridCol w:w="2142"/>
        <w:gridCol w:w="1729"/>
        <w:gridCol w:w="1809"/>
        <w:gridCol w:w="1627"/>
        <w:gridCol w:w="1210"/>
      </w:tblGrid>
      <w:tr w:rsidR="00743302" w:rsidRPr="002B5CCC" w14:paraId="5027D841" w14:textId="77777777" w:rsidTr="00A92947"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D658A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D3453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D4225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In 2023 (VND)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F7827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In 2022 (VND)</w:t>
            </w:r>
          </w:p>
        </w:tc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173E4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743302" w:rsidRPr="002B5CCC" w14:paraId="2FD72284" w14:textId="77777777" w:rsidTr="00A92947"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01B11" w14:textId="77777777" w:rsidR="00743302" w:rsidRPr="002B5CCC" w:rsidRDefault="00743302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B32C4" w14:textId="77777777" w:rsidR="00743302" w:rsidRPr="002B5CCC" w:rsidRDefault="00743302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77002" w14:textId="77777777" w:rsidR="00743302" w:rsidRPr="002B5CCC" w:rsidRDefault="00743302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0B84B" w14:textId="77777777" w:rsidR="00743302" w:rsidRPr="002B5CCC" w:rsidRDefault="00743302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AFE99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5F5E5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743302" w:rsidRPr="002B5CCC" w14:paraId="49A82791" w14:textId="77777777" w:rsidTr="00A92947">
        <w:tc>
          <w:tcPr>
            <w:tcW w:w="2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3F100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17F0B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38E27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1611C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73B14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(5)=(3)-(4)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221D1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(6)=(5)/(4)</w:t>
            </w:r>
          </w:p>
        </w:tc>
      </w:tr>
      <w:tr w:rsidR="00743302" w:rsidRPr="002B5CCC" w14:paraId="5E5532CA" w14:textId="77777777" w:rsidTr="00A92947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2BAF1" w14:textId="77777777" w:rsidR="00743302" w:rsidRPr="002B5CCC" w:rsidRDefault="00743302" w:rsidP="00A9294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AA484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Consolidated profit after tax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6242F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390,270,864,629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6FCCF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110,372,607,154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D73F4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279,898,257,475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640EB" w14:textId="77777777" w:rsidR="00743302" w:rsidRPr="002B5CCC" w:rsidRDefault="00A92947" w:rsidP="00A9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B5CCC">
              <w:rPr>
                <w:rFonts w:ascii="Arial" w:hAnsi="Arial" w:cs="Arial"/>
                <w:color w:val="010000"/>
                <w:sz w:val="20"/>
              </w:rPr>
              <w:t>253.59%</w:t>
            </w:r>
          </w:p>
        </w:tc>
      </w:tr>
    </w:tbl>
    <w:p w14:paraId="058A4ACD" w14:textId="77777777" w:rsidR="00743302" w:rsidRPr="002B5CCC" w:rsidRDefault="00A92947" w:rsidP="00A929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5CCC">
        <w:rPr>
          <w:rFonts w:ascii="Arial" w:hAnsi="Arial" w:cs="Arial"/>
          <w:color w:val="010000"/>
          <w:sz w:val="20"/>
        </w:rPr>
        <w:t xml:space="preserve">The main reasons leading to the difference in consolidated profit after tax compared to the same period last year of the Corporation: Profit after tax of the Holding Company and a number of subsidiaries and joint venture in 2023 increased compared to 2022. </w:t>
      </w:r>
    </w:p>
    <w:sectPr w:rsidR="00743302" w:rsidRPr="002B5CCC" w:rsidSect="00A9294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02"/>
    <w:rsid w:val="002B5CCC"/>
    <w:rsid w:val="00743302"/>
    <w:rsid w:val="00A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2C5F9"/>
  <w15:docId w15:val="{86F943B7-019D-4125-9F82-D609686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xQz+pcN0C+VSmTrZpOljiOdLg==">CgMxLjA4AHIhMXl3bFRJNU9sYW5FeUdQdkZIa1BLZEdZaF9SR3dRYWtu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637</Characters>
  <Application>Microsoft Office Word</Application>
  <DocSecurity>0</DocSecurity>
  <Lines>8</Lines>
  <Paragraphs>2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2024-04-02T04:26:00Z</dcterms:created>
  <dcterms:modified xsi:type="dcterms:W3CDTF">2024-04-03T01:36:00Z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90e88cfeed99e5505ff5a412dbc5c666f9c9174f660129e658ccceec8ec29eaa</vt:lpwstr>
  </property>
</Properties>
</file>