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39AB" w:rsidRDefault="008D0B5B">
      <w:pPr>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r>
        <w:rPr>
          <w:rFonts w:ascii="Arial" w:hAnsi="Arial"/>
          <w:b/>
          <w:color w:val="010000"/>
          <w:sz w:val="20"/>
        </w:rPr>
        <w:t>GDW: Board Resolution</w:t>
      </w:r>
    </w:p>
    <w:p w14:paraId="00000002" w14:textId="77777777" w:rsidR="009439AB" w:rsidRDefault="008D0B5B">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On March 29, 2024, Gia </w:t>
      </w:r>
      <w:proofErr w:type="spellStart"/>
      <w:r>
        <w:rPr>
          <w:rFonts w:ascii="Arial" w:hAnsi="Arial"/>
          <w:color w:val="010000"/>
          <w:sz w:val="20"/>
        </w:rPr>
        <w:t>Dinh</w:t>
      </w:r>
      <w:proofErr w:type="spellEnd"/>
      <w:r>
        <w:rPr>
          <w:rFonts w:ascii="Arial" w:hAnsi="Arial"/>
          <w:color w:val="010000"/>
          <w:sz w:val="20"/>
        </w:rPr>
        <w:t xml:space="preserve"> Water Supply Joint Stock Company announced Resolution No. 17/NQ-GD as follows:</w:t>
      </w:r>
    </w:p>
    <w:p w14:paraId="00000003" w14:textId="77777777" w:rsidR="009439AB" w:rsidRDefault="008D0B5B">
      <w:pPr>
        <w:numPr>
          <w:ilvl w:val="0"/>
          <w:numId w:val="2"/>
        </w:numPr>
        <w:pBdr>
          <w:top w:val="nil"/>
          <w:left w:val="nil"/>
          <w:bottom w:val="nil"/>
          <w:right w:val="nil"/>
          <w:between w:val="nil"/>
        </w:pBdr>
        <w:tabs>
          <w:tab w:val="left" w:pos="450"/>
          <w:tab w:val="left" w:pos="894"/>
        </w:tabs>
        <w:spacing w:after="120" w:line="360" w:lineRule="auto"/>
        <w:rPr>
          <w:rFonts w:ascii="Arial" w:eastAsia="Arial" w:hAnsi="Arial" w:cs="Arial"/>
          <w:color w:val="010000"/>
          <w:sz w:val="20"/>
          <w:szCs w:val="20"/>
        </w:rPr>
      </w:pPr>
      <w:r>
        <w:rPr>
          <w:rFonts w:ascii="Arial" w:hAnsi="Arial"/>
          <w:color w:val="010000"/>
          <w:sz w:val="20"/>
        </w:rPr>
        <w:t>Approve Report No. 471/BC-GD dated March 7, 2024 on the Company's production, business and financial performance in 2023 (attached with the audited Financial Statements for the fiscal year ended December 31, 2023), in which the water consumption volume rea</w:t>
      </w:r>
      <w:r>
        <w:rPr>
          <w:rFonts w:ascii="Arial" w:hAnsi="Arial"/>
          <w:color w:val="010000"/>
          <w:sz w:val="20"/>
        </w:rPr>
        <w:t>ched 54.007 million m3; total revenue reached VND 657.041 billion (water revenue reached VND 651.326 billion); the average cumulative water loss rate was 9.98%; profit before tax reached VND 45.386 billion; (Attached Appendix 1)</w:t>
      </w:r>
    </w:p>
    <w:p w14:paraId="00000004" w14:textId="77777777" w:rsidR="009439AB" w:rsidRDefault="008D0B5B">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Board of Directors unan</w:t>
      </w:r>
      <w:r>
        <w:rPr>
          <w:rFonts w:ascii="Arial" w:hAnsi="Arial"/>
          <w:color w:val="010000"/>
          <w:sz w:val="20"/>
        </w:rPr>
        <w:t>imously agreed that the Employee Salary Fund is VND 70,171,600,000 according to the content of Proposal No. 328/</w:t>
      </w:r>
      <w:proofErr w:type="spellStart"/>
      <w:r>
        <w:rPr>
          <w:rFonts w:ascii="Arial" w:hAnsi="Arial"/>
          <w:color w:val="010000"/>
          <w:sz w:val="20"/>
        </w:rPr>
        <w:t>TTr</w:t>
      </w:r>
      <w:proofErr w:type="spellEnd"/>
      <w:r>
        <w:rPr>
          <w:rFonts w:ascii="Arial" w:hAnsi="Arial"/>
          <w:color w:val="010000"/>
          <w:sz w:val="20"/>
        </w:rPr>
        <w:t xml:space="preserve">-GD dated February 21, 2024 on determining the actual Salary Fund of Managers and Employees of the Company in 2023. </w:t>
      </w:r>
      <w:r>
        <w:rPr>
          <w:rFonts w:ascii="Arial" w:hAnsi="Arial"/>
          <w:color w:val="010000"/>
          <w:sz w:val="20"/>
        </w:rPr>
        <w:t>The Executive Board is re</w:t>
      </w:r>
      <w:r>
        <w:rPr>
          <w:rFonts w:ascii="Arial" w:hAnsi="Arial"/>
          <w:color w:val="010000"/>
          <w:sz w:val="20"/>
        </w:rPr>
        <w:t>quested to report the actual salary fund in 2023 after receiving official opinions from the Department of Labor, Invalids and Social Affairs and in accordance with other legal regulations.</w:t>
      </w:r>
    </w:p>
    <w:p w14:paraId="00000005" w14:textId="77777777" w:rsidR="009439AB" w:rsidRDefault="008D0B5B">
      <w:pPr>
        <w:numPr>
          <w:ilvl w:val="0"/>
          <w:numId w:val="2"/>
        </w:numPr>
        <w:pBdr>
          <w:top w:val="nil"/>
          <w:left w:val="nil"/>
          <w:bottom w:val="nil"/>
          <w:right w:val="nil"/>
          <w:between w:val="nil"/>
        </w:pBdr>
        <w:tabs>
          <w:tab w:val="left" w:pos="450"/>
          <w:tab w:val="left" w:pos="816"/>
        </w:tabs>
        <w:spacing w:after="120" w:line="360" w:lineRule="auto"/>
        <w:rPr>
          <w:rFonts w:ascii="Arial" w:eastAsia="Arial" w:hAnsi="Arial" w:cs="Arial"/>
          <w:color w:val="010000"/>
          <w:sz w:val="20"/>
          <w:szCs w:val="20"/>
        </w:rPr>
      </w:pPr>
      <w:r>
        <w:rPr>
          <w:rFonts w:ascii="Arial" w:hAnsi="Arial"/>
          <w:color w:val="010000"/>
          <w:sz w:val="20"/>
        </w:rPr>
        <w:t xml:space="preserve">Approve the Business and Production Plan 2024 of Gia </w:t>
      </w:r>
      <w:proofErr w:type="spellStart"/>
      <w:r>
        <w:rPr>
          <w:rFonts w:ascii="Arial" w:hAnsi="Arial"/>
          <w:color w:val="010000"/>
          <w:sz w:val="20"/>
        </w:rPr>
        <w:t>Dinh</w:t>
      </w:r>
      <w:proofErr w:type="spellEnd"/>
      <w:r>
        <w:rPr>
          <w:rFonts w:ascii="Arial" w:hAnsi="Arial"/>
          <w:color w:val="010000"/>
          <w:sz w:val="20"/>
        </w:rPr>
        <w:t xml:space="preserve"> Water Sup</w:t>
      </w:r>
      <w:r>
        <w:rPr>
          <w:rFonts w:ascii="Arial" w:hAnsi="Arial"/>
          <w:color w:val="010000"/>
          <w:sz w:val="20"/>
        </w:rPr>
        <w:t>ply Joint Stock Company according to the content of Proposal No. 124/</w:t>
      </w:r>
      <w:proofErr w:type="spellStart"/>
      <w:r>
        <w:rPr>
          <w:rFonts w:ascii="Arial" w:hAnsi="Arial"/>
          <w:color w:val="010000"/>
          <w:sz w:val="20"/>
        </w:rPr>
        <w:t>TTr</w:t>
      </w:r>
      <w:proofErr w:type="spellEnd"/>
      <w:r>
        <w:rPr>
          <w:rFonts w:ascii="Arial" w:hAnsi="Arial"/>
          <w:color w:val="010000"/>
          <w:sz w:val="20"/>
        </w:rPr>
        <w:t>-GD dated January 18, 2024 (Section A-B) on registering the production, business, construction investment - procurement - reducing water loss plan in 2024.</w:t>
      </w:r>
    </w:p>
    <w:p w14:paraId="00000006" w14:textId="789E8F48" w:rsidR="009439AB" w:rsidRDefault="008D0B5B">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On the Construction Investme</w:t>
      </w:r>
      <w:r>
        <w:rPr>
          <w:rFonts w:ascii="Arial" w:hAnsi="Arial"/>
          <w:color w:val="010000"/>
          <w:sz w:val="20"/>
        </w:rPr>
        <w:t>nt Plan - reducing water loss, agreed to adjust the design capacity of water loss reduction works in 2024 according to the content of Proposal No. 439/</w:t>
      </w:r>
      <w:proofErr w:type="spellStart"/>
      <w:r>
        <w:rPr>
          <w:rFonts w:ascii="Arial" w:hAnsi="Arial"/>
          <w:color w:val="010000"/>
          <w:sz w:val="20"/>
        </w:rPr>
        <w:t>TTr</w:t>
      </w:r>
      <w:proofErr w:type="spellEnd"/>
      <w:r>
        <w:rPr>
          <w:rFonts w:ascii="Arial" w:hAnsi="Arial"/>
          <w:color w:val="010000"/>
          <w:sz w:val="20"/>
        </w:rPr>
        <w:t>-GD dated March 5, 2024 of the Company's Manager.</w:t>
      </w:r>
      <w:r>
        <w:rPr>
          <w:rFonts w:ascii="Arial" w:hAnsi="Arial"/>
          <w:color w:val="010000"/>
          <w:sz w:val="20"/>
        </w:rPr>
        <w:t xml:space="preserve"> Other contents of the Construction Investment Plan -</w:t>
      </w:r>
      <w:r>
        <w:rPr>
          <w:rFonts w:ascii="Arial" w:hAnsi="Arial"/>
          <w:color w:val="010000"/>
          <w:sz w:val="20"/>
        </w:rPr>
        <w:t xml:space="preserve"> reducing water loss that was</w:t>
      </w:r>
      <w:r>
        <w:rPr>
          <w:rFonts w:ascii="Arial" w:hAnsi="Arial"/>
          <w:color w:val="010000"/>
          <w:sz w:val="20"/>
        </w:rPr>
        <w:t xml:space="preserve"> approved in Section 6 of Resolution No. 15/NQ-GD dated February 6, 2024 remain unchanged.</w:t>
      </w:r>
    </w:p>
    <w:p w14:paraId="00000007" w14:textId="77777777" w:rsidR="009439AB" w:rsidRDefault="008D0B5B">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On the Financial Plan for 2024, the Executive Board is assigned to continue submitting to the Board of Directors when there is a suffic</w:t>
      </w:r>
      <w:r>
        <w:rPr>
          <w:rFonts w:ascii="Arial" w:hAnsi="Arial"/>
          <w:color w:val="010000"/>
          <w:sz w:val="20"/>
        </w:rPr>
        <w:t>ient legal basis.</w:t>
      </w:r>
    </w:p>
    <w:p w14:paraId="00000008" w14:textId="77777777" w:rsidR="009439AB" w:rsidRDefault="008D0B5B">
      <w:pPr>
        <w:numPr>
          <w:ilvl w:val="0"/>
          <w:numId w:val="2"/>
        </w:numPr>
        <w:pBdr>
          <w:top w:val="nil"/>
          <w:left w:val="nil"/>
          <w:bottom w:val="nil"/>
          <w:right w:val="nil"/>
          <w:between w:val="nil"/>
        </w:pBdr>
        <w:tabs>
          <w:tab w:val="left" w:pos="450"/>
          <w:tab w:val="left" w:pos="816"/>
        </w:tabs>
        <w:spacing w:after="120" w:line="360" w:lineRule="auto"/>
        <w:rPr>
          <w:rFonts w:ascii="Arial" w:eastAsia="Arial" w:hAnsi="Arial" w:cs="Arial"/>
          <w:color w:val="010000"/>
          <w:sz w:val="20"/>
          <w:szCs w:val="20"/>
        </w:rPr>
      </w:pPr>
      <w:r>
        <w:rPr>
          <w:rFonts w:ascii="Arial" w:hAnsi="Arial"/>
          <w:color w:val="010000"/>
          <w:sz w:val="20"/>
        </w:rPr>
        <w:t>Agree on the plan to retroactively adjust and use the undistributed profit after tax source from 2021 and earlier to account for the wholesale water purchase cost in the initial period of buying and selling through the master meter (perio</w:t>
      </w:r>
      <w:r>
        <w:rPr>
          <w:rFonts w:ascii="Arial" w:hAnsi="Arial"/>
          <w:color w:val="010000"/>
          <w:sz w:val="20"/>
        </w:rPr>
        <w:t>d 7/2014) compared to the cost accounting plan in fiscal year 2023 approved in Resolution No. 15/NQ-GD dated February 6, 2024.</w:t>
      </w:r>
    </w:p>
    <w:p w14:paraId="00000009" w14:textId="77777777" w:rsidR="009439AB" w:rsidRDefault="008D0B5B">
      <w:pPr>
        <w:numPr>
          <w:ilvl w:val="0"/>
          <w:numId w:val="2"/>
        </w:numPr>
        <w:pBdr>
          <w:top w:val="nil"/>
          <w:left w:val="nil"/>
          <w:bottom w:val="nil"/>
          <w:right w:val="nil"/>
          <w:between w:val="nil"/>
        </w:pBdr>
        <w:tabs>
          <w:tab w:val="left" w:pos="450"/>
          <w:tab w:val="left" w:pos="826"/>
        </w:tabs>
        <w:spacing w:after="120" w:line="360" w:lineRule="auto"/>
        <w:rPr>
          <w:rFonts w:ascii="Arial" w:eastAsia="Arial" w:hAnsi="Arial" w:cs="Arial"/>
          <w:color w:val="010000"/>
          <w:sz w:val="20"/>
          <w:szCs w:val="20"/>
        </w:rPr>
      </w:pPr>
      <w:r>
        <w:rPr>
          <w:rFonts w:ascii="Arial" w:hAnsi="Arial"/>
          <w:color w:val="010000"/>
          <w:sz w:val="20"/>
        </w:rPr>
        <w:t xml:space="preserve">Approve the draft Activity Plan 2024 of the Internal Audit Committee. </w:t>
      </w:r>
      <w:r>
        <w:rPr>
          <w:rFonts w:ascii="Arial" w:hAnsi="Arial"/>
          <w:color w:val="010000"/>
          <w:sz w:val="20"/>
        </w:rPr>
        <w:t>The Internal Audit Committee is requested to develop specific programs and plans before implementing the audit contents to ensure operational efficiency as well as smooth coordination wi</w:t>
      </w:r>
      <w:r>
        <w:rPr>
          <w:rFonts w:ascii="Arial" w:hAnsi="Arial"/>
          <w:color w:val="010000"/>
          <w:sz w:val="20"/>
        </w:rPr>
        <w:t>th the Company's specialized departments.</w:t>
      </w:r>
    </w:p>
    <w:p w14:paraId="0000000A" w14:textId="77777777" w:rsidR="009439AB" w:rsidRDefault="008D0B5B">
      <w:pPr>
        <w:numPr>
          <w:ilvl w:val="0"/>
          <w:numId w:val="2"/>
        </w:numPr>
        <w:pBdr>
          <w:top w:val="nil"/>
          <w:left w:val="nil"/>
          <w:bottom w:val="nil"/>
          <w:right w:val="nil"/>
          <w:between w:val="nil"/>
        </w:pBdr>
        <w:tabs>
          <w:tab w:val="left" w:pos="450"/>
          <w:tab w:val="left" w:pos="829"/>
        </w:tabs>
        <w:spacing w:after="120" w:line="360" w:lineRule="auto"/>
        <w:rPr>
          <w:rFonts w:ascii="Arial" w:eastAsia="Arial" w:hAnsi="Arial" w:cs="Arial"/>
          <w:color w:val="010000"/>
          <w:sz w:val="20"/>
          <w:szCs w:val="20"/>
        </w:rPr>
      </w:pPr>
      <w:r>
        <w:rPr>
          <w:rFonts w:ascii="Arial" w:hAnsi="Arial"/>
          <w:color w:val="010000"/>
          <w:sz w:val="20"/>
        </w:rPr>
        <w:t xml:space="preserve">The Board of Directors listened and agreed on the policy to invest in network development projects using the Company's Production Development Investment Fund. </w:t>
      </w:r>
      <w:r>
        <w:rPr>
          <w:rFonts w:ascii="Arial" w:hAnsi="Arial"/>
          <w:color w:val="010000"/>
          <w:sz w:val="20"/>
        </w:rPr>
        <w:t>The Executive Board is requested to prepare projects, a</w:t>
      </w:r>
      <w:r>
        <w:rPr>
          <w:rFonts w:ascii="Arial" w:hAnsi="Arial"/>
          <w:color w:val="010000"/>
          <w:sz w:val="20"/>
        </w:rPr>
        <w:t>ssess the necessity and plan to use capital effectively for the Board of Directors to approve.</w:t>
      </w:r>
    </w:p>
    <w:p w14:paraId="0000000B" w14:textId="77777777" w:rsidR="009439AB" w:rsidRDefault="008D0B5B">
      <w:pPr>
        <w:numPr>
          <w:ilvl w:val="0"/>
          <w:numId w:val="2"/>
        </w:numPr>
        <w:pBdr>
          <w:top w:val="nil"/>
          <w:left w:val="nil"/>
          <w:bottom w:val="nil"/>
          <w:right w:val="nil"/>
          <w:between w:val="nil"/>
        </w:pBdr>
        <w:tabs>
          <w:tab w:val="left" w:pos="450"/>
          <w:tab w:val="left" w:pos="833"/>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 unanimously approved the documents submitted to the Annual General Meeting of Shareholders 2024 as follows:</w:t>
      </w:r>
    </w:p>
    <w:p w14:paraId="0000000C" w14:textId="77777777" w:rsidR="009439AB" w:rsidRDefault="008D0B5B">
      <w:pPr>
        <w:numPr>
          <w:ilvl w:val="0"/>
          <w:numId w:val="1"/>
        </w:numPr>
        <w:pBdr>
          <w:top w:val="nil"/>
          <w:left w:val="nil"/>
          <w:bottom w:val="nil"/>
          <w:right w:val="nil"/>
          <w:between w:val="nil"/>
        </w:pBdr>
        <w:tabs>
          <w:tab w:val="left" w:pos="450"/>
          <w:tab w:val="left" w:pos="814"/>
        </w:tabs>
        <w:spacing w:after="120" w:line="360" w:lineRule="auto"/>
        <w:rPr>
          <w:rFonts w:ascii="Arial" w:eastAsia="Arial" w:hAnsi="Arial" w:cs="Arial"/>
          <w:color w:val="010000"/>
          <w:sz w:val="20"/>
          <w:szCs w:val="20"/>
        </w:rPr>
      </w:pPr>
      <w:r>
        <w:rPr>
          <w:rFonts w:ascii="Arial" w:hAnsi="Arial"/>
          <w:color w:val="010000"/>
          <w:sz w:val="20"/>
        </w:rPr>
        <w:t>Report No. 58/BC-GD dated March 18, 2024 of the Board of Directors on the governance and performance of the Board of Directors and each member of the Board of Directors in 2023;</w:t>
      </w:r>
    </w:p>
    <w:p w14:paraId="0000000D" w14:textId="77777777" w:rsidR="009439AB" w:rsidRDefault="008D0B5B">
      <w:pPr>
        <w:numPr>
          <w:ilvl w:val="0"/>
          <w:numId w:val="1"/>
        </w:numPr>
        <w:pBdr>
          <w:top w:val="nil"/>
          <w:left w:val="nil"/>
          <w:bottom w:val="nil"/>
          <w:right w:val="nil"/>
          <w:between w:val="nil"/>
        </w:pBdr>
        <w:tabs>
          <w:tab w:val="left" w:pos="450"/>
          <w:tab w:val="left" w:pos="814"/>
        </w:tabs>
        <w:spacing w:after="120" w:line="360" w:lineRule="auto"/>
        <w:rPr>
          <w:rFonts w:ascii="Arial" w:eastAsia="Arial" w:hAnsi="Arial" w:cs="Arial"/>
          <w:color w:val="010000"/>
          <w:sz w:val="20"/>
          <w:szCs w:val="20"/>
        </w:rPr>
      </w:pPr>
      <w:r>
        <w:rPr>
          <w:rFonts w:ascii="Arial" w:hAnsi="Arial"/>
          <w:color w:val="010000"/>
          <w:sz w:val="20"/>
        </w:rPr>
        <w:t>Report No. 32/BC-GD dated March 14, 2024 of the Supervisory Board on the Compa</w:t>
      </w:r>
      <w:r>
        <w:rPr>
          <w:rFonts w:ascii="Arial" w:hAnsi="Arial"/>
          <w:color w:val="010000"/>
          <w:sz w:val="20"/>
        </w:rPr>
        <w:t>ny's business results, on the performance of the Board of Directors and the Board of Managers; Self-assessment report on the performance of the Supervisory Board and Supervisors in 2023;</w:t>
      </w:r>
    </w:p>
    <w:p w14:paraId="0000000E" w14:textId="77777777" w:rsidR="009439AB" w:rsidRDefault="008D0B5B">
      <w:pPr>
        <w:numPr>
          <w:ilvl w:val="0"/>
          <w:numId w:val="1"/>
        </w:numPr>
        <w:pBdr>
          <w:top w:val="nil"/>
          <w:left w:val="nil"/>
          <w:bottom w:val="nil"/>
          <w:right w:val="nil"/>
          <w:between w:val="nil"/>
        </w:pBdr>
        <w:tabs>
          <w:tab w:val="left" w:pos="450"/>
          <w:tab w:val="left" w:pos="814"/>
          <w:tab w:val="left" w:pos="8940"/>
        </w:tabs>
        <w:spacing w:after="120" w:line="360" w:lineRule="auto"/>
        <w:rPr>
          <w:rFonts w:ascii="Arial" w:eastAsia="Arial" w:hAnsi="Arial" w:cs="Arial"/>
          <w:color w:val="010000"/>
          <w:sz w:val="20"/>
          <w:szCs w:val="20"/>
        </w:rPr>
      </w:pPr>
      <w:r>
        <w:rPr>
          <w:rFonts w:ascii="Arial" w:hAnsi="Arial"/>
          <w:color w:val="010000"/>
          <w:sz w:val="20"/>
        </w:rPr>
        <w:t>Proposal No. 551/</w:t>
      </w:r>
      <w:proofErr w:type="spellStart"/>
      <w:r>
        <w:rPr>
          <w:rFonts w:ascii="Arial" w:hAnsi="Arial"/>
          <w:color w:val="010000"/>
          <w:sz w:val="20"/>
        </w:rPr>
        <w:t>TTr</w:t>
      </w:r>
      <w:proofErr w:type="spellEnd"/>
      <w:r>
        <w:rPr>
          <w:rFonts w:ascii="Arial" w:hAnsi="Arial"/>
          <w:color w:val="010000"/>
          <w:sz w:val="20"/>
        </w:rPr>
        <w:t>-GD dated March 18, 2024 on the payment of wholes</w:t>
      </w:r>
      <w:r>
        <w:rPr>
          <w:rFonts w:ascii="Arial" w:hAnsi="Arial"/>
          <w:color w:val="010000"/>
          <w:sz w:val="20"/>
        </w:rPr>
        <w:t xml:space="preserve">ale water purchase costs at the time of equitization and the period of wholesale water purchase through the master meter for SAIGON WATER CORPORATION (SAWACO) according to the recommendations of the State Audit; </w:t>
      </w:r>
    </w:p>
    <w:p w14:paraId="0000000F" w14:textId="77777777" w:rsidR="009439AB" w:rsidRDefault="008D0B5B">
      <w:pPr>
        <w:numPr>
          <w:ilvl w:val="0"/>
          <w:numId w:val="1"/>
        </w:numPr>
        <w:pBdr>
          <w:top w:val="nil"/>
          <w:left w:val="nil"/>
          <w:bottom w:val="nil"/>
          <w:right w:val="nil"/>
          <w:between w:val="nil"/>
        </w:pBdr>
        <w:tabs>
          <w:tab w:val="left" w:pos="450"/>
          <w:tab w:val="left" w:pos="814"/>
        </w:tabs>
        <w:spacing w:after="120" w:line="360" w:lineRule="auto"/>
        <w:rPr>
          <w:rFonts w:ascii="Arial" w:eastAsia="Arial" w:hAnsi="Arial" w:cs="Arial"/>
          <w:color w:val="010000"/>
          <w:sz w:val="20"/>
          <w:szCs w:val="20"/>
        </w:rPr>
      </w:pPr>
      <w:r>
        <w:rPr>
          <w:rFonts w:ascii="Arial" w:hAnsi="Arial"/>
          <w:color w:val="010000"/>
          <w:sz w:val="20"/>
        </w:rPr>
        <w:t>Proposal No. 51/</w:t>
      </w:r>
      <w:proofErr w:type="spellStart"/>
      <w:r>
        <w:rPr>
          <w:rFonts w:ascii="Arial" w:hAnsi="Arial"/>
          <w:color w:val="010000"/>
          <w:sz w:val="20"/>
        </w:rPr>
        <w:t>TTr</w:t>
      </w:r>
      <w:proofErr w:type="spellEnd"/>
      <w:r>
        <w:rPr>
          <w:rFonts w:ascii="Arial" w:hAnsi="Arial"/>
          <w:color w:val="010000"/>
          <w:sz w:val="20"/>
        </w:rPr>
        <w:t xml:space="preserve">-GD on the remuneration </w:t>
      </w:r>
      <w:r>
        <w:rPr>
          <w:rFonts w:ascii="Arial" w:hAnsi="Arial"/>
          <w:color w:val="010000"/>
          <w:sz w:val="20"/>
        </w:rPr>
        <w:t>level in 2024 for non-executive members of the Board of Directors, Supervisors and the Company's Person in charge of corporate governance;</w:t>
      </w:r>
    </w:p>
    <w:p w14:paraId="00000010" w14:textId="77777777" w:rsidR="009439AB" w:rsidRDefault="008D0B5B">
      <w:pPr>
        <w:numPr>
          <w:ilvl w:val="0"/>
          <w:numId w:val="1"/>
        </w:numPr>
        <w:pBdr>
          <w:top w:val="nil"/>
          <w:left w:val="nil"/>
          <w:bottom w:val="nil"/>
          <w:right w:val="nil"/>
          <w:between w:val="nil"/>
        </w:pBdr>
        <w:tabs>
          <w:tab w:val="left" w:pos="450"/>
          <w:tab w:val="left" w:pos="814"/>
        </w:tabs>
        <w:spacing w:after="120" w:line="360" w:lineRule="auto"/>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Proposal No. 30/</w:t>
      </w:r>
      <w:proofErr w:type="spellStart"/>
      <w:r>
        <w:rPr>
          <w:rFonts w:ascii="Arial" w:hAnsi="Arial"/>
          <w:color w:val="010000"/>
          <w:sz w:val="20"/>
        </w:rPr>
        <w:t>TTr</w:t>
      </w:r>
      <w:proofErr w:type="spellEnd"/>
      <w:r>
        <w:rPr>
          <w:rFonts w:ascii="Arial" w:hAnsi="Arial"/>
          <w:color w:val="010000"/>
          <w:sz w:val="20"/>
        </w:rPr>
        <w:t>-GD dated March 7, 2024 on selecting an independent auditing unit to audit the Company's semi-ann</w:t>
      </w:r>
      <w:r>
        <w:rPr>
          <w:rFonts w:ascii="Arial" w:hAnsi="Arial"/>
          <w:color w:val="010000"/>
          <w:sz w:val="20"/>
        </w:rPr>
        <w:t>ual and 2024 Financial Statements;</w:t>
      </w:r>
    </w:p>
    <w:p w14:paraId="00000011" w14:textId="77777777" w:rsidR="009439AB" w:rsidRDefault="008D0B5B">
      <w:pPr>
        <w:numPr>
          <w:ilvl w:val="0"/>
          <w:numId w:val="1"/>
        </w:numPr>
        <w:pBdr>
          <w:top w:val="nil"/>
          <w:left w:val="nil"/>
          <w:bottom w:val="nil"/>
          <w:right w:val="nil"/>
          <w:between w:val="nil"/>
        </w:pBdr>
        <w:tabs>
          <w:tab w:val="left" w:pos="450"/>
          <w:tab w:val="left" w:pos="814"/>
        </w:tabs>
        <w:spacing w:after="120" w:line="360" w:lineRule="auto"/>
        <w:rPr>
          <w:rFonts w:ascii="Arial" w:eastAsia="Arial" w:hAnsi="Arial" w:cs="Arial"/>
          <w:color w:val="010000"/>
          <w:sz w:val="20"/>
          <w:szCs w:val="20"/>
        </w:rPr>
      </w:pPr>
      <w:r>
        <w:rPr>
          <w:rFonts w:ascii="Arial" w:hAnsi="Arial"/>
          <w:color w:val="010000"/>
          <w:sz w:val="20"/>
        </w:rPr>
        <w:t>Proposal No. 53/</w:t>
      </w:r>
      <w:proofErr w:type="spellStart"/>
      <w:r>
        <w:rPr>
          <w:rFonts w:ascii="Arial" w:hAnsi="Arial"/>
          <w:color w:val="010000"/>
          <w:sz w:val="20"/>
        </w:rPr>
        <w:t>TTr</w:t>
      </w:r>
      <w:proofErr w:type="spellEnd"/>
      <w:r>
        <w:rPr>
          <w:rFonts w:ascii="Arial" w:hAnsi="Arial"/>
          <w:color w:val="010000"/>
          <w:sz w:val="20"/>
        </w:rPr>
        <w:t>-GD dated March 13, 2024 on authorizing the approval of the wholesale water price in 2024;</w:t>
      </w:r>
    </w:p>
    <w:p w14:paraId="00000012" w14:textId="77777777" w:rsidR="009439AB" w:rsidRDefault="008D0B5B">
      <w:pPr>
        <w:numPr>
          <w:ilvl w:val="0"/>
          <w:numId w:val="1"/>
        </w:numPr>
        <w:pBdr>
          <w:top w:val="nil"/>
          <w:left w:val="nil"/>
          <w:bottom w:val="nil"/>
          <w:right w:val="nil"/>
          <w:between w:val="nil"/>
        </w:pBdr>
        <w:tabs>
          <w:tab w:val="left" w:pos="450"/>
          <w:tab w:val="left" w:pos="1683"/>
        </w:tabs>
        <w:spacing w:after="120" w:line="360" w:lineRule="auto"/>
        <w:rPr>
          <w:rFonts w:ascii="Arial" w:eastAsia="Arial" w:hAnsi="Arial" w:cs="Arial"/>
          <w:color w:val="010000"/>
          <w:sz w:val="20"/>
          <w:szCs w:val="20"/>
        </w:rPr>
      </w:pPr>
      <w:r>
        <w:rPr>
          <w:rFonts w:ascii="Arial" w:hAnsi="Arial"/>
          <w:color w:val="010000"/>
          <w:sz w:val="20"/>
        </w:rPr>
        <w:t>On the plan to distribute retained earnings after tax from 2021 and earlier, in the spirit of continuing to imp</w:t>
      </w:r>
      <w:r>
        <w:rPr>
          <w:rFonts w:ascii="Arial" w:hAnsi="Arial"/>
          <w:color w:val="010000"/>
          <w:sz w:val="20"/>
        </w:rPr>
        <w:t>lement the policy of paying the 2nd dividend (8% of par value/2nd phase in 2024) in Annual General Mandate 2023 No. 02/NQ-GD dated April 21, 2024. The Executive Board is assigned to research and propose an appropriate payment plan for the Board of Director</w:t>
      </w:r>
      <w:r>
        <w:rPr>
          <w:rFonts w:ascii="Arial" w:hAnsi="Arial"/>
          <w:color w:val="010000"/>
          <w:sz w:val="20"/>
        </w:rPr>
        <w:t>s to approve.</w:t>
      </w:r>
    </w:p>
    <w:p w14:paraId="00000013" w14:textId="77777777" w:rsidR="009439AB" w:rsidRDefault="008D0B5B">
      <w:pPr>
        <w:numPr>
          <w:ilvl w:val="0"/>
          <w:numId w:val="1"/>
        </w:numPr>
        <w:pBdr>
          <w:top w:val="nil"/>
          <w:left w:val="nil"/>
          <w:bottom w:val="nil"/>
          <w:right w:val="nil"/>
          <w:between w:val="nil"/>
        </w:pBdr>
        <w:tabs>
          <w:tab w:val="left" w:pos="450"/>
          <w:tab w:val="left" w:pos="1781"/>
        </w:tabs>
        <w:spacing w:after="120" w:line="360" w:lineRule="auto"/>
        <w:rPr>
          <w:rFonts w:ascii="Arial" w:eastAsia="Arial" w:hAnsi="Arial" w:cs="Arial"/>
          <w:color w:val="010000"/>
          <w:sz w:val="20"/>
          <w:szCs w:val="20"/>
        </w:rPr>
      </w:pPr>
      <w:r>
        <w:rPr>
          <w:rFonts w:ascii="Arial" w:hAnsi="Arial"/>
          <w:color w:val="010000"/>
          <w:sz w:val="20"/>
        </w:rPr>
        <w:t>On the profit distribution plan for 2023, the Executive Board is requested to agree on the annual financial results to facilitate the drafting of figures to submit the plan at the Annual General Meeting of Shareholders 2024.</w:t>
      </w:r>
    </w:p>
    <w:p w14:paraId="00000014" w14:textId="77777777" w:rsidR="009439AB" w:rsidRDefault="009439AB">
      <w:pPr>
        <w:tabs>
          <w:tab w:val="left" w:pos="450"/>
        </w:tabs>
        <w:spacing w:after="120" w:line="360" w:lineRule="auto"/>
        <w:rPr>
          <w:rFonts w:ascii="Arial" w:eastAsia="Arial" w:hAnsi="Arial" w:cs="Arial"/>
          <w:color w:val="010000"/>
          <w:sz w:val="20"/>
          <w:szCs w:val="20"/>
        </w:rPr>
      </w:pPr>
    </w:p>
    <w:sectPr w:rsidR="009439A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463D"/>
    <w:multiLevelType w:val="multilevel"/>
    <w:tmpl w:val="8DFA34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172DFA"/>
    <w:multiLevelType w:val="multilevel"/>
    <w:tmpl w:val="3BFE11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AB"/>
    <w:rsid w:val="008D0B5B"/>
    <w:rsid w:val="00943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0BC5"/>
  <w15:docId w15:val="{393D4859-D403-496B-91FD-3B33E35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6"/>
      <w:szCs w:val="26"/>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0"/>
      <w:szCs w:val="20"/>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CF314B"/>
      <w:sz w:val="17"/>
      <w:szCs w:val="17"/>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CF314B"/>
      <w:sz w:val="30"/>
      <w:szCs w:val="3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6D2732"/>
      <w:sz w:val="34"/>
      <w:szCs w:val="34"/>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strike w:val="0"/>
      <w:sz w:val="42"/>
      <w:szCs w:val="42"/>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rPr>
  </w:style>
  <w:style w:type="character" w:customStyle="1" w:styleId="Bodytext5">
    <w:name w:val="Body text (5)_"/>
    <w:basedOn w:val="DefaultParagraphFont"/>
    <w:link w:val="Bodytext50"/>
    <w:rPr>
      <w:rFonts w:ascii="Verdana" w:eastAsia="Verdana" w:hAnsi="Verdana" w:cs="Verdana"/>
      <w:b w:val="0"/>
      <w:bCs w:val="0"/>
      <w:i w:val="0"/>
      <w:iCs w:val="0"/>
      <w:smallCaps w:val="0"/>
      <w:strike w:val="0"/>
      <w:sz w:val="18"/>
      <w:szCs w:val="18"/>
      <w:u w:val="none"/>
    </w:rPr>
  </w:style>
  <w:style w:type="paragraph" w:styleId="BodyText">
    <w:name w:val="Body Text"/>
    <w:basedOn w:val="Normal"/>
    <w:link w:val="BodyTextChar"/>
    <w:qFormat/>
    <w:pPr>
      <w:spacing w:line="338" w:lineRule="auto"/>
      <w:ind w:firstLine="20"/>
    </w:pPr>
    <w:rPr>
      <w:rFonts w:ascii="Times New Roman" w:eastAsia="Times New Roman" w:hAnsi="Times New Roman" w:cs="Times New Roman"/>
    </w:rPr>
  </w:style>
  <w:style w:type="paragraph" w:customStyle="1" w:styleId="Bodytext60">
    <w:name w:val="Body text (6)"/>
    <w:basedOn w:val="Normal"/>
    <w:link w:val="Bodytext6"/>
    <w:pPr>
      <w:jc w:val="center"/>
    </w:pPr>
    <w:rPr>
      <w:rFonts w:ascii="Arial" w:eastAsia="Arial" w:hAnsi="Arial" w:cs="Arial"/>
      <w:sz w:val="26"/>
      <w:szCs w:val="26"/>
    </w:rPr>
  </w:style>
  <w:style w:type="paragraph" w:customStyle="1" w:styleId="Bodytext20">
    <w:name w:val="Body text (2)"/>
    <w:basedOn w:val="Normal"/>
    <w:link w:val="Bodytext2"/>
    <w:pPr>
      <w:spacing w:line="269" w:lineRule="auto"/>
    </w:pPr>
    <w:rPr>
      <w:rFonts w:ascii="Arial" w:eastAsia="Arial" w:hAnsi="Arial" w:cs="Arial"/>
      <w:b/>
      <w:bCs/>
      <w:sz w:val="8"/>
      <w:szCs w:val="8"/>
    </w:rPr>
  </w:style>
  <w:style w:type="paragraph" w:customStyle="1" w:styleId="Bodytext40">
    <w:name w:val="Body text (4)"/>
    <w:basedOn w:val="Normal"/>
    <w:link w:val="Bodytext4"/>
    <w:rPr>
      <w:rFonts w:ascii="Times New Roman" w:eastAsia="Times New Roman" w:hAnsi="Times New Roman" w:cs="Times New Roman"/>
      <w:i/>
      <w:iCs/>
      <w:sz w:val="20"/>
      <w:szCs w:val="20"/>
    </w:rPr>
  </w:style>
  <w:style w:type="paragraph" w:customStyle="1" w:styleId="Bodytext30">
    <w:name w:val="Body text (3)"/>
    <w:basedOn w:val="Normal"/>
    <w:link w:val="Bodytext3"/>
    <w:pPr>
      <w:ind w:left="850"/>
    </w:pPr>
    <w:rPr>
      <w:rFonts w:ascii="Arial" w:eastAsia="Arial" w:hAnsi="Arial" w:cs="Arial"/>
      <w:b/>
      <w:bCs/>
      <w:color w:val="CF314B"/>
      <w:sz w:val="17"/>
      <w:szCs w:val="17"/>
    </w:rPr>
  </w:style>
  <w:style w:type="paragraph" w:customStyle="1" w:styleId="Heading21">
    <w:name w:val="Heading #2"/>
    <w:basedOn w:val="Normal"/>
    <w:link w:val="Heading20"/>
    <w:pPr>
      <w:spacing w:line="313" w:lineRule="exact"/>
      <w:ind w:left="1700" w:firstLine="20"/>
      <w:outlineLvl w:val="1"/>
    </w:pPr>
    <w:rPr>
      <w:rFonts w:ascii="Times New Roman" w:eastAsia="Times New Roman" w:hAnsi="Times New Roman" w:cs="Times New Roman"/>
      <w:color w:val="CF314B"/>
      <w:sz w:val="30"/>
      <w:szCs w:val="30"/>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11">
    <w:name w:val="Heading #1"/>
    <w:basedOn w:val="Normal"/>
    <w:link w:val="Heading10"/>
    <w:pPr>
      <w:spacing w:line="199" w:lineRule="auto"/>
      <w:ind w:left="3140"/>
      <w:outlineLvl w:val="0"/>
    </w:pPr>
    <w:rPr>
      <w:rFonts w:ascii="Times New Roman" w:eastAsia="Times New Roman" w:hAnsi="Times New Roman" w:cs="Times New Roman"/>
      <w:smallCaps/>
      <w:color w:val="6D2732"/>
      <w:sz w:val="34"/>
      <w:szCs w:val="34"/>
    </w:rPr>
  </w:style>
  <w:style w:type="paragraph" w:customStyle="1" w:styleId="Bodytext70">
    <w:name w:val="Body text (7)"/>
    <w:basedOn w:val="Normal"/>
    <w:link w:val="Bodytext7"/>
    <w:pPr>
      <w:spacing w:line="206" w:lineRule="auto"/>
    </w:pPr>
    <w:rPr>
      <w:rFonts w:ascii="Times New Roman" w:eastAsia="Times New Roman" w:hAnsi="Times New Roman" w:cs="Times New Roman"/>
      <w:smallCaps/>
      <w:sz w:val="42"/>
      <w:szCs w:val="42"/>
    </w:rPr>
  </w:style>
  <w:style w:type="paragraph" w:customStyle="1" w:styleId="Bodytext80">
    <w:name w:val="Body text (8)"/>
    <w:basedOn w:val="Normal"/>
    <w:link w:val="Bodytext8"/>
    <w:pPr>
      <w:spacing w:line="180" w:lineRule="auto"/>
    </w:pPr>
    <w:rPr>
      <w:rFonts w:ascii="Times New Roman" w:eastAsia="Times New Roman" w:hAnsi="Times New Roman" w:cs="Times New Roman"/>
      <w:smallCaps/>
      <w:sz w:val="34"/>
      <w:szCs w:val="34"/>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Bodytext50">
    <w:name w:val="Body text (5)"/>
    <w:basedOn w:val="Normal"/>
    <w:link w:val="Bodytext5"/>
    <w:pPr>
      <w:jc w:val="center"/>
    </w:pPr>
    <w:rPr>
      <w:rFonts w:ascii="Verdana" w:eastAsia="Verdana" w:hAnsi="Verdana" w:cs="Verdana"/>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Ak9cGa0RApr3f8YheEAaFd0hNw==">CgMxLjA4AHIhMXVxZktzem8tbjZTVlBfek5oV0ZlN2xSRi05TUh2R1E4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2024-04-02T04:48:00Z</dcterms:created>
  <dcterms:modified xsi:type="dcterms:W3CDTF">2024-04-03T02:56:00Z</dcterms:modified>
</cp:coreProperties>
</file>