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FB3DC"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6271BB">
        <w:rPr>
          <w:rFonts w:ascii="Arial" w:hAnsi="Arial" w:cs="Arial"/>
          <w:b/>
          <w:color w:val="010000"/>
          <w:sz w:val="20"/>
        </w:rPr>
        <w:t>GEE: Annual General Mandate 2024</w:t>
      </w:r>
    </w:p>
    <w:p w14:paraId="2073CCB3" w14:textId="6FB99018"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On March 27, 2024, </w:t>
      </w:r>
      <w:proofErr w:type="spellStart"/>
      <w:r w:rsidRPr="006271BB">
        <w:rPr>
          <w:rFonts w:ascii="Arial" w:hAnsi="Arial" w:cs="Arial"/>
          <w:color w:val="010000"/>
          <w:sz w:val="20"/>
        </w:rPr>
        <w:t>Gelex</w:t>
      </w:r>
      <w:proofErr w:type="spellEnd"/>
      <w:r w:rsidRPr="006271BB">
        <w:rPr>
          <w:rFonts w:ascii="Arial" w:hAnsi="Arial" w:cs="Arial"/>
          <w:color w:val="010000"/>
          <w:sz w:val="20"/>
        </w:rPr>
        <w:t xml:space="preserve"> Electricity Joint Stock Company announced Gen</w:t>
      </w:r>
      <w:r w:rsidR="005338B5">
        <w:rPr>
          <w:rFonts w:ascii="Arial" w:hAnsi="Arial" w:cs="Arial"/>
          <w:color w:val="010000"/>
          <w:sz w:val="20"/>
        </w:rPr>
        <w:t>eral Mandate No. 01/2024/GE/NQ-</w:t>
      </w:r>
      <w:r w:rsidRPr="006271BB">
        <w:rPr>
          <w:rFonts w:ascii="Arial" w:hAnsi="Arial" w:cs="Arial"/>
          <w:color w:val="010000"/>
          <w:sz w:val="20"/>
        </w:rPr>
        <w:t>DHDCD as follows:</w:t>
      </w:r>
    </w:p>
    <w:p w14:paraId="1580B756"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‎‎Article 1. Approve the List of Vote Counting Committee, Meeting agenda, Regulations on organizing the Meeting, Regulations on additional election of independent members of the Board of Directors for the remaining period of the 2020 - 2025 term.</w:t>
      </w:r>
    </w:p>
    <w:p w14:paraId="06061C96" w14:textId="43731DA0"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‎‎Article 2. Approve the full text of the reports of the </w:t>
      </w:r>
      <w:r w:rsidR="005338B5">
        <w:rPr>
          <w:rFonts w:ascii="Arial" w:hAnsi="Arial" w:cs="Arial"/>
          <w:color w:val="010000"/>
          <w:sz w:val="20"/>
        </w:rPr>
        <w:t>General Meeting</w:t>
      </w:r>
      <w:r w:rsidRPr="006271BB">
        <w:rPr>
          <w:rFonts w:ascii="Arial" w:hAnsi="Arial" w:cs="Arial"/>
          <w:color w:val="010000"/>
          <w:sz w:val="20"/>
        </w:rPr>
        <w:t>:</w:t>
      </w:r>
    </w:p>
    <w:p w14:paraId="33835EC4" w14:textId="40847395" w:rsidR="00E67962" w:rsidRPr="006271BB" w:rsidRDefault="00472AA7" w:rsidP="005338B5">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271BB">
        <w:rPr>
          <w:rFonts w:ascii="Arial" w:hAnsi="Arial" w:cs="Arial"/>
          <w:color w:val="010000"/>
          <w:sz w:val="20"/>
        </w:rPr>
        <w:t xml:space="preserve">Report of the </w:t>
      </w:r>
      <w:r w:rsidR="005338B5">
        <w:rPr>
          <w:rFonts w:ascii="Arial" w:hAnsi="Arial" w:cs="Arial"/>
          <w:color w:val="010000"/>
          <w:sz w:val="20"/>
        </w:rPr>
        <w:t xml:space="preserve">Managing Director </w:t>
      </w:r>
    </w:p>
    <w:p w14:paraId="51D7487D" w14:textId="77777777" w:rsidR="00E67962" w:rsidRPr="006271BB" w:rsidRDefault="00472AA7" w:rsidP="00472AA7">
      <w:pPr>
        <w:keepNext/>
        <w:pBdr>
          <w:top w:val="nil"/>
          <w:left w:val="nil"/>
          <w:bottom w:val="nil"/>
          <w:right w:val="nil"/>
          <w:between w:val="nil"/>
        </w:pBdr>
        <w:tabs>
          <w:tab w:val="left" w:pos="344"/>
          <w:tab w:val="left" w:pos="9802"/>
        </w:tabs>
        <w:spacing w:after="120" w:line="360" w:lineRule="auto"/>
        <w:rPr>
          <w:rFonts w:ascii="Arial" w:eastAsia="Arial" w:hAnsi="Arial" w:cs="Arial"/>
          <w:color w:val="010000"/>
          <w:sz w:val="20"/>
          <w:szCs w:val="20"/>
        </w:rPr>
      </w:pPr>
      <w:r w:rsidRPr="006271BB">
        <w:rPr>
          <w:rFonts w:ascii="Arial" w:hAnsi="Arial" w:cs="Arial"/>
          <w:color w:val="010000"/>
          <w:sz w:val="20"/>
        </w:rPr>
        <w:t xml:space="preserve">Production and business results in 2023 </w:t>
      </w:r>
    </w:p>
    <w:tbl>
      <w:tblPr>
        <w:tblStyle w:val="a"/>
        <w:tblW w:w="5000" w:type="pct"/>
        <w:tblLook w:val="0000" w:firstRow="0" w:lastRow="0" w:firstColumn="0" w:lastColumn="0" w:noHBand="0" w:noVBand="0"/>
      </w:tblPr>
      <w:tblGrid>
        <w:gridCol w:w="2182"/>
        <w:gridCol w:w="1639"/>
        <w:gridCol w:w="1627"/>
        <w:gridCol w:w="1778"/>
        <w:gridCol w:w="1791"/>
      </w:tblGrid>
      <w:tr w:rsidR="00E67962" w:rsidRPr="006271BB" w14:paraId="3C29199C" w14:textId="77777777" w:rsidTr="00472AA7">
        <w:tc>
          <w:tcPr>
            <w:tcW w:w="1210" w:type="pct"/>
            <w:vMerge w:val="restart"/>
            <w:tcBorders>
              <w:top w:val="single" w:sz="4" w:space="0" w:color="000000"/>
              <w:left w:val="single" w:sz="4" w:space="0" w:color="000000"/>
            </w:tcBorders>
            <w:shd w:val="clear" w:color="auto" w:fill="auto"/>
            <w:tcMar>
              <w:top w:w="0" w:type="dxa"/>
              <w:bottom w:w="0" w:type="dxa"/>
            </w:tcMar>
            <w:vAlign w:val="center"/>
          </w:tcPr>
          <w:p w14:paraId="4B04C198"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Consolidated target (billion VND)</w:t>
            </w:r>
          </w:p>
        </w:tc>
        <w:tc>
          <w:tcPr>
            <w:tcW w:w="909" w:type="pct"/>
            <w:vMerge w:val="restart"/>
            <w:tcBorders>
              <w:top w:val="single" w:sz="4" w:space="0" w:color="000000"/>
              <w:left w:val="single" w:sz="4" w:space="0" w:color="000000"/>
            </w:tcBorders>
            <w:shd w:val="clear" w:color="auto" w:fill="auto"/>
            <w:tcMar>
              <w:top w:w="0" w:type="dxa"/>
              <w:bottom w:w="0" w:type="dxa"/>
            </w:tcMar>
            <w:vAlign w:val="center"/>
          </w:tcPr>
          <w:p w14:paraId="1083CA6D"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2022</w:t>
            </w:r>
          </w:p>
        </w:tc>
        <w:tc>
          <w:tcPr>
            <w:tcW w:w="2881"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F961C9"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2023</w:t>
            </w:r>
          </w:p>
        </w:tc>
      </w:tr>
      <w:tr w:rsidR="00E67962" w:rsidRPr="006271BB" w14:paraId="11591081" w14:textId="77777777" w:rsidTr="00472AA7">
        <w:tc>
          <w:tcPr>
            <w:tcW w:w="1210" w:type="pct"/>
            <w:vMerge/>
            <w:tcBorders>
              <w:top w:val="single" w:sz="4" w:space="0" w:color="000000"/>
              <w:left w:val="single" w:sz="4" w:space="0" w:color="000000"/>
            </w:tcBorders>
            <w:shd w:val="clear" w:color="auto" w:fill="auto"/>
            <w:tcMar>
              <w:top w:w="0" w:type="dxa"/>
              <w:bottom w:w="0" w:type="dxa"/>
            </w:tcMar>
            <w:vAlign w:val="center"/>
          </w:tcPr>
          <w:p w14:paraId="0FC85B5A" w14:textId="77777777" w:rsidR="00E67962" w:rsidRPr="006271BB" w:rsidRDefault="00E67962" w:rsidP="00472AA7">
            <w:pPr>
              <w:pBdr>
                <w:top w:val="nil"/>
                <w:left w:val="nil"/>
                <w:bottom w:val="nil"/>
                <w:right w:val="nil"/>
                <w:between w:val="nil"/>
              </w:pBdr>
              <w:spacing w:after="120" w:line="360" w:lineRule="auto"/>
              <w:rPr>
                <w:rFonts w:ascii="Arial" w:eastAsia="Arial" w:hAnsi="Arial" w:cs="Arial"/>
                <w:color w:val="010000"/>
                <w:sz w:val="20"/>
                <w:szCs w:val="20"/>
              </w:rPr>
            </w:pPr>
          </w:p>
        </w:tc>
        <w:tc>
          <w:tcPr>
            <w:tcW w:w="909" w:type="pct"/>
            <w:vMerge/>
            <w:tcBorders>
              <w:top w:val="single" w:sz="4" w:space="0" w:color="000000"/>
              <w:left w:val="single" w:sz="4" w:space="0" w:color="000000"/>
            </w:tcBorders>
            <w:shd w:val="clear" w:color="auto" w:fill="auto"/>
            <w:tcMar>
              <w:top w:w="0" w:type="dxa"/>
              <w:bottom w:w="0" w:type="dxa"/>
            </w:tcMar>
            <w:vAlign w:val="center"/>
          </w:tcPr>
          <w:p w14:paraId="146551D5" w14:textId="77777777" w:rsidR="00E67962" w:rsidRPr="006271BB" w:rsidRDefault="00E67962" w:rsidP="00472AA7">
            <w:pPr>
              <w:pBdr>
                <w:top w:val="nil"/>
                <w:left w:val="nil"/>
                <w:bottom w:val="nil"/>
                <w:right w:val="nil"/>
                <w:between w:val="nil"/>
              </w:pBdr>
              <w:spacing w:after="120" w:line="360" w:lineRule="auto"/>
              <w:rPr>
                <w:rFonts w:ascii="Arial" w:eastAsia="Arial" w:hAnsi="Arial" w:cs="Arial"/>
                <w:color w:val="010000"/>
                <w:sz w:val="20"/>
                <w:szCs w:val="20"/>
              </w:rPr>
            </w:pPr>
          </w:p>
        </w:tc>
        <w:tc>
          <w:tcPr>
            <w:tcW w:w="902" w:type="pct"/>
            <w:tcBorders>
              <w:top w:val="single" w:sz="4" w:space="0" w:color="000000"/>
              <w:left w:val="single" w:sz="4" w:space="0" w:color="000000"/>
            </w:tcBorders>
            <w:shd w:val="clear" w:color="auto" w:fill="auto"/>
            <w:tcMar>
              <w:top w:w="0" w:type="dxa"/>
              <w:bottom w:w="0" w:type="dxa"/>
            </w:tcMar>
            <w:vAlign w:val="center"/>
          </w:tcPr>
          <w:p w14:paraId="0E010C75"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Plan</w:t>
            </w:r>
          </w:p>
        </w:tc>
        <w:tc>
          <w:tcPr>
            <w:tcW w:w="986" w:type="pct"/>
            <w:tcBorders>
              <w:top w:val="single" w:sz="4" w:space="0" w:color="000000"/>
              <w:left w:val="single" w:sz="4" w:space="0" w:color="000000"/>
            </w:tcBorders>
            <w:shd w:val="clear" w:color="auto" w:fill="auto"/>
            <w:tcMar>
              <w:top w:w="0" w:type="dxa"/>
              <w:bottom w:w="0" w:type="dxa"/>
            </w:tcMar>
            <w:vAlign w:val="center"/>
          </w:tcPr>
          <w:p w14:paraId="5947A132"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Results</w:t>
            </w:r>
          </w:p>
        </w:tc>
        <w:tc>
          <w:tcPr>
            <w:tcW w:w="9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FFD9F3" w14:textId="0CEC27EE"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Growth compared to that of 2022</w:t>
            </w:r>
          </w:p>
        </w:tc>
      </w:tr>
      <w:tr w:rsidR="00E67962" w:rsidRPr="006271BB" w14:paraId="6C328A69" w14:textId="77777777" w:rsidTr="00472AA7">
        <w:tc>
          <w:tcPr>
            <w:tcW w:w="1210" w:type="pct"/>
            <w:tcBorders>
              <w:top w:val="single" w:sz="4" w:space="0" w:color="000000"/>
              <w:left w:val="single" w:sz="4" w:space="0" w:color="000000"/>
            </w:tcBorders>
            <w:shd w:val="clear" w:color="auto" w:fill="auto"/>
            <w:tcMar>
              <w:top w:w="0" w:type="dxa"/>
              <w:bottom w:w="0" w:type="dxa"/>
            </w:tcMar>
            <w:vAlign w:val="center"/>
          </w:tcPr>
          <w:p w14:paraId="20DAD472"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Net revenue</w:t>
            </w:r>
          </w:p>
        </w:tc>
        <w:tc>
          <w:tcPr>
            <w:tcW w:w="909" w:type="pct"/>
            <w:tcBorders>
              <w:top w:val="single" w:sz="4" w:space="0" w:color="000000"/>
              <w:left w:val="single" w:sz="4" w:space="0" w:color="000000"/>
            </w:tcBorders>
            <w:shd w:val="clear" w:color="auto" w:fill="auto"/>
            <w:tcMar>
              <w:top w:w="0" w:type="dxa"/>
              <w:bottom w:w="0" w:type="dxa"/>
            </w:tcMar>
            <w:vAlign w:val="center"/>
          </w:tcPr>
          <w:p w14:paraId="0614DA02"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16,665</w:t>
            </w:r>
          </w:p>
        </w:tc>
        <w:tc>
          <w:tcPr>
            <w:tcW w:w="902" w:type="pct"/>
            <w:tcBorders>
              <w:top w:val="single" w:sz="4" w:space="0" w:color="000000"/>
              <w:left w:val="single" w:sz="4" w:space="0" w:color="000000"/>
            </w:tcBorders>
            <w:shd w:val="clear" w:color="auto" w:fill="auto"/>
            <w:tcMar>
              <w:top w:w="0" w:type="dxa"/>
              <w:bottom w:w="0" w:type="dxa"/>
            </w:tcMar>
            <w:vAlign w:val="center"/>
          </w:tcPr>
          <w:p w14:paraId="68FC21DE"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19,422</w:t>
            </w:r>
          </w:p>
        </w:tc>
        <w:tc>
          <w:tcPr>
            <w:tcW w:w="986" w:type="pct"/>
            <w:tcBorders>
              <w:top w:val="single" w:sz="4" w:space="0" w:color="000000"/>
              <w:left w:val="single" w:sz="4" w:space="0" w:color="000000"/>
            </w:tcBorders>
            <w:shd w:val="clear" w:color="auto" w:fill="auto"/>
            <w:tcMar>
              <w:top w:w="0" w:type="dxa"/>
              <w:bottom w:w="0" w:type="dxa"/>
            </w:tcMar>
            <w:vAlign w:val="center"/>
          </w:tcPr>
          <w:p w14:paraId="2BAC22C2"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16,607</w:t>
            </w:r>
          </w:p>
        </w:tc>
        <w:tc>
          <w:tcPr>
            <w:tcW w:w="9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BE2F8B"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-0.3%</w:t>
            </w:r>
          </w:p>
        </w:tc>
      </w:tr>
      <w:tr w:rsidR="00E67962" w:rsidRPr="006271BB" w14:paraId="0FC26FCD" w14:textId="77777777" w:rsidTr="00472AA7">
        <w:tc>
          <w:tcPr>
            <w:tcW w:w="12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F4D0B5"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Profit before tax</w:t>
            </w:r>
          </w:p>
        </w:tc>
        <w:tc>
          <w:tcPr>
            <w:tcW w:w="9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F7A59D"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1,120</w:t>
            </w:r>
          </w:p>
        </w:tc>
        <w:tc>
          <w:tcPr>
            <w:tcW w:w="9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996D87"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928</w:t>
            </w:r>
          </w:p>
        </w:tc>
        <w:tc>
          <w:tcPr>
            <w:tcW w:w="9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0B8054"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967</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46D767"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-13.7%</w:t>
            </w:r>
          </w:p>
        </w:tc>
      </w:tr>
    </w:tbl>
    <w:p w14:paraId="3147B5BC" w14:textId="77777777" w:rsidR="00E67962" w:rsidRPr="006271BB" w:rsidRDefault="00472AA7" w:rsidP="005338B5">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271BB">
        <w:rPr>
          <w:rFonts w:ascii="Arial" w:hAnsi="Arial" w:cs="Arial"/>
          <w:color w:val="010000"/>
          <w:sz w:val="20"/>
        </w:rPr>
        <w:t>Report of the Board of Directors.</w:t>
      </w:r>
    </w:p>
    <w:p w14:paraId="2713B1DC" w14:textId="77777777" w:rsidR="00E67962" w:rsidRPr="006271BB" w:rsidRDefault="00472AA7" w:rsidP="005338B5">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271BB">
        <w:rPr>
          <w:rFonts w:ascii="Arial" w:hAnsi="Arial" w:cs="Arial"/>
          <w:color w:val="010000"/>
          <w:sz w:val="20"/>
        </w:rPr>
        <w:t>Report of the Supervisory Board.</w:t>
      </w:r>
    </w:p>
    <w:p w14:paraId="399B001E"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‎‎Article 3. Approve the Audited Financial Statements 2023 (including the Separate Financial Statements 2023 and the Audited Consolidated Financial Statements 2023).</w:t>
      </w:r>
    </w:p>
    <w:p w14:paraId="0A604569"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‎‎Article 4. Approve the Company's profit distribution plan in 2023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4604"/>
        <w:gridCol w:w="2004"/>
        <w:gridCol w:w="1726"/>
      </w:tblGrid>
      <w:tr w:rsidR="00E67962" w:rsidRPr="006271BB" w14:paraId="101F7A32" w14:textId="77777777" w:rsidTr="00472AA7">
        <w:tc>
          <w:tcPr>
            <w:tcW w:w="379" w:type="pct"/>
            <w:shd w:val="clear" w:color="auto" w:fill="auto"/>
            <w:tcMar>
              <w:top w:w="0" w:type="dxa"/>
              <w:bottom w:w="0" w:type="dxa"/>
            </w:tcMar>
            <w:vAlign w:val="center"/>
          </w:tcPr>
          <w:p w14:paraId="2A537DB3"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No.</w:t>
            </w:r>
          </w:p>
        </w:tc>
        <w:tc>
          <w:tcPr>
            <w:tcW w:w="2553" w:type="pct"/>
            <w:shd w:val="clear" w:color="auto" w:fill="auto"/>
            <w:tcMar>
              <w:top w:w="0" w:type="dxa"/>
              <w:bottom w:w="0" w:type="dxa"/>
            </w:tcMar>
            <w:vAlign w:val="center"/>
          </w:tcPr>
          <w:p w14:paraId="600A0A7A"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Target</w:t>
            </w:r>
          </w:p>
        </w:tc>
        <w:tc>
          <w:tcPr>
            <w:tcW w:w="1111" w:type="pct"/>
            <w:shd w:val="clear" w:color="auto" w:fill="auto"/>
            <w:tcMar>
              <w:top w:w="0" w:type="dxa"/>
              <w:bottom w:w="0" w:type="dxa"/>
            </w:tcMar>
            <w:vAlign w:val="center"/>
          </w:tcPr>
          <w:p w14:paraId="7C40CAF9"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Amount (VND)</w:t>
            </w:r>
          </w:p>
        </w:tc>
        <w:tc>
          <w:tcPr>
            <w:tcW w:w="957" w:type="pct"/>
            <w:shd w:val="clear" w:color="auto" w:fill="auto"/>
            <w:tcMar>
              <w:top w:w="0" w:type="dxa"/>
              <w:bottom w:w="0" w:type="dxa"/>
            </w:tcMar>
            <w:vAlign w:val="center"/>
          </w:tcPr>
          <w:p w14:paraId="5CB7BECC"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%/Charter capital</w:t>
            </w:r>
          </w:p>
        </w:tc>
      </w:tr>
      <w:tr w:rsidR="00E67962" w:rsidRPr="006271BB" w14:paraId="2441A6C1" w14:textId="77777777" w:rsidTr="00472AA7">
        <w:tc>
          <w:tcPr>
            <w:tcW w:w="379" w:type="pct"/>
            <w:shd w:val="clear" w:color="auto" w:fill="auto"/>
            <w:tcMar>
              <w:top w:w="0" w:type="dxa"/>
              <w:bottom w:w="0" w:type="dxa"/>
            </w:tcMar>
            <w:vAlign w:val="center"/>
          </w:tcPr>
          <w:p w14:paraId="229F7ABA"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I</w:t>
            </w:r>
          </w:p>
        </w:tc>
        <w:tc>
          <w:tcPr>
            <w:tcW w:w="2553" w:type="pct"/>
            <w:shd w:val="clear" w:color="auto" w:fill="auto"/>
            <w:tcMar>
              <w:top w:w="0" w:type="dxa"/>
              <w:bottom w:w="0" w:type="dxa"/>
            </w:tcMar>
            <w:vAlign w:val="center"/>
          </w:tcPr>
          <w:p w14:paraId="5B33EBA3"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Distributable profit after tax</w:t>
            </w:r>
          </w:p>
        </w:tc>
        <w:tc>
          <w:tcPr>
            <w:tcW w:w="1111" w:type="pct"/>
            <w:shd w:val="clear" w:color="auto" w:fill="auto"/>
            <w:tcMar>
              <w:top w:w="0" w:type="dxa"/>
              <w:bottom w:w="0" w:type="dxa"/>
            </w:tcMar>
            <w:vAlign w:val="center"/>
          </w:tcPr>
          <w:p w14:paraId="71E3C3A6"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1,378,202,564,542</w:t>
            </w:r>
          </w:p>
        </w:tc>
        <w:tc>
          <w:tcPr>
            <w:tcW w:w="957" w:type="pct"/>
            <w:shd w:val="clear" w:color="auto" w:fill="auto"/>
            <w:tcMar>
              <w:top w:w="0" w:type="dxa"/>
              <w:bottom w:w="0" w:type="dxa"/>
            </w:tcMar>
            <w:vAlign w:val="center"/>
          </w:tcPr>
          <w:p w14:paraId="49D5A5AC"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45.94%</w:t>
            </w:r>
          </w:p>
        </w:tc>
      </w:tr>
      <w:tr w:rsidR="00E67962" w:rsidRPr="006271BB" w14:paraId="5076F1D4" w14:textId="77777777" w:rsidTr="00472AA7">
        <w:tc>
          <w:tcPr>
            <w:tcW w:w="379" w:type="pct"/>
            <w:shd w:val="clear" w:color="auto" w:fill="auto"/>
            <w:tcMar>
              <w:top w:w="0" w:type="dxa"/>
              <w:bottom w:w="0" w:type="dxa"/>
            </w:tcMar>
            <w:vAlign w:val="center"/>
          </w:tcPr>
          <w:p w14:paraId="05A709D7"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1.1</w:t>
            </w:r>
          </w:p>
        </w:tc>
        <w:tc>
          <w:tcPr>
            <w:tcW w:w="2553" w:type="pct"/>
            <w:shd w:val="clear" w:color="auto" w:fill="auto"/>
            <w:tcMar>
              <w:top w:w="0" w:type="dxa"/>
              <w:bottom w:w="0" w:type="dxa"/>
            </w:tcMar>
            <w:vAlign w:val="center"/>
          </w:tcPr>
          <w:p w14:paraId="74313AC5"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Remaining profit after tax from previous years</w:t>
            </w:r>
          </w:p>
        </w:tc>
        <w:tc>
          <w:tcPr>
            <w:tcW w:w="1111" w:type="pct"/>
            <w:shd w:val="clear" w:color="auto" w:fill="auto"/>
            <w:tcMar>
              <w:top w:w="0" w:type="dxa"/>
              <w:bottom w:w="0" w:type="dxa"/>
            </w:tcMar>
            <w:vAlign w:val="center"/>
          </w:tcPr>
          <w:p w14:paraId="1FA88437"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124,147,407,961</w:t>
            </w:r>
          </w:p>
        </w:tc>
        <w:tc>
          <w:tcPr>
            <w:tcW w:w="957" w:type="pct"/>
            <w:shd w:val="clear" w:color="auto" w:fill="auto"/>
            <w:tcMar>
              <w:top w:w="0" w:type="dxa"/>
              <w:bottom w:w="0" w:type="dxa"/>
            </w:tcMar>
            <w:vAlign w:val="center"/>
          </w:tcPr>
          <w:p w14:paraId="1EE4F425" w14:textId="77777777" w:rsidR="00E67962" w:rsidRPr="006271BB" w:rsidRDefault="00E67962" w:rsidP="00472AA7">
            <w:pPr>
              <w:spacing w:after="120" w:line="360" w:lineRule="auto"/>
              <w:rPr>
                <w:rFonts w:ascii="Arial" w:eastAsia="Arial" w:hAnsi="Arial" w:cs="Arial"/>
                <w:color w:val="010000"/>
                <w:sz w:val="20"/>
                <w:szCs w:val="20"/>
              </w:rPr>
            </w:pPr>
          </w:p>
        </w:tc>
      </w:tr>
      <w:tr w:rsidR="00E67962" w:rsidRPr="006271BB" w14:paraId="58489EF2" w14:textId="77777777" w:rsidTr="00472AA7">
        <w:tc>
          <w:tcPr>
            <w:tcW w:w="379" w:type="pct"/>
            <w:shd w:val="clear" w:color="auto" w:fill="auto"/>
            <w:tcMar>
              <w:top w:w="0" w:type="dxa"/>
              <w:bottom w:w="0" w:type="dxa"/>
            </w:tcMar>
            <w:vAlign w:val="center"/>
          </w:tcPr>
          <w:p w14:paraId="7E28294E"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1.2</w:t>
            </w:r>
          </w:p>
        </w:tc>
        <w:tc>
          <w:tcPr>
            <w:tcW w:w="2553" w:type="pct"/>
            <w:shd w:val="clear" w:color="auto" w:fill="auto"/>
            <w:tcMar>
              <w:top w:w="0" w:type="dxa"/>
              <w:bottom w:w="0" w:type="dxa"/>
            </w:tcMar>
            <w:vAlign w:val="center"/>
          </w:tcPr>
          <w:p w14:paraId="65C586A0"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Profit after tax in 2023 according to the Audited Separate Financial Statements</w:t>
            </w:r>
          </w:p>
        </w:tc>
        <w:tc>
          <w:tcPr>
            <w:tcW w:w="1111" w:type="pct"/>
            <w:shd w:val="clear" w:color="auto" w:fill="auto"/>
            <w:tcMar>
              <w:top w:w="0" w:type="dxa"/>
              <w:bottom w:w="0" w:type="dxa"/>
            </w:tcMar>
            <w:vAlign w:val="center"/>
          </w:tcPr>
          <w:p w14:paraId="65CA9A8A"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1,254,055,156,581</w:t>
            </w:r>
          </w:p>
        </w:tc>
        <w:tc>
          <w:tcPr>
            <w:tcW w:w="957" w:type="pct"/>
            <w:shd w:val="clear" w:color="auto" w:fill="auto"/>
            <w:tcMar>
              <w:top w:w="0" w:type="dxa"/>
              <w:bottom w:w="0" w:type="dxa"/>
            </w:tcMar>
            <w:vAlign w:val="center"/>
          </w:tcPr>
          <w:p w14:paraId="289787FC" w14:textId="77777777" w:rsidR="00E67962" w:rsidRPr="006271BB" w:rsidRDefault="00E67962" w:rsidP="00472AA7">
            <w:pPr>
              <w:spacing w:after="120" w:line="360" w:lineRule="auto"/>
              <w:rPr>
                <w:rFonts w:ascii="Arial" w:eastAsia="Arial" w:hAnsi="Arial" w:cs="Arial"/>
                <w:color w:val="010000"/>
                <w:sz w:val="20"/>
                <w:szCs w:val="20"/>
              </w:rPr>
            </w:pPr>
          </w:p>
        </w:tc>
      </w:tr>
      <w:tr w:rsidR="00E67962" w:rsidRPr="006271BB" w14:paraId="56840856" w14:textId="77777777" w:rsidTr="00472AA7">
        <w:tc>
          <w:tcPr>
            <w:tcW w:w="379" w:type="pct"/>
            <w:shd w:val="clear" w:color="auto" w:fill="auto"/>
            <w:tcMar>
              <w:top w:w="0" w:type="dxa"/>
              <w:bottom w:w="0" w:type="dxa"/>
            </w:tcMar>
            <w:vAlign w:val="center"/>
          </w:tcPr>
          <w:p w14:paraId="75067FEE"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II</w:t>
            </w:r>
          </w:p>
        </w:tc>
        <w:tc>
          <w:tcPr>
            <w:tcW w:w="2553" w:type="pct"/>
            <w:shd w:val="clear" w:color="auto" w:fill="auto"/>
            <w:tcMar>
              <w:top w:w="0" w:type="dxa"/>
              <w:bottom w:w="0" w:type="dxa"/>
            </w:tcMar>
            <w:vAlign w:val="center"/>
          </w:tcPr>
          <w:p w14:paraId="1566BB62"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Profit distribution in 2023</w:t>
            </w:r>
          </w:p>
        </w:tc>
        <w:tc>
          <w:tcPr>
            <w:tcW w:w="1111" w:type="pct"/>
            <w:shd w:val="clear" w:color="auto" w:fill="auto"/>
            <w:tcMar>
              <w:top w:w="0" w:type="dxa"/>
              <w:bottom w:w="0" w:type="dxa"/>
            </w:tcMar>
            <w:vAlign w:val="center"/>
          </w:tcPr>
          <w:p w14:paraId="212F6410"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600,000,000,000</w:t>
            </w:r>
          </w:p>
        </w:tc>
        <w:tc>
          <w:tcPr>
            <w:tcW w:w="957" w:type="pct"/>
            <w:shd w:val="clear" w:color="auto" w:fill="auto"/>
            <w:tcMar>
              <w:top w:w="0" w:type="dxa"/>
              <w:bottom w:w="0" w:type="dxa"/>
            </w:tcMar>
            <w:vAlign w:val="center"/>
          </w:tcPr>
          <w:p w14:paraId="321E7BE7"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20.00%</w:t>
            </w:r>
          </w:p>
        </w:tc>
      </w:tr>
      <w:tr w:rsidR="00E67962" w:rsidRPr="006271BB" w14:paraId="49D83297" w14:textId="77777777" w:rsidTr="00472AA7">
        <w:tc>
          <w:tcPr>
            <w:tcW w:w="379" w:type="pct"/>
            <w:shd w:val="clear" w:color="auto" w:fill="auto"/>
            <w:tcMar>
              <w:top w:w="0" w:type="dxa"/>
              <w:bottom w:w="0" w:type="dxa"/>
            </w:tcMar>
            <w:vAlign w:val="center"/>
          </w:tcPr>
          <w:p w14:paraId="2240A6A8" w14:textId="77777777" w:rsidR="00E67962" w:rsidRPr="006271BB" w:rsidRDefault="00E67962" w:rsidP="00472AA7">
            <w:pPr>
              <w:spacing w:after="120" w:line="360" w:lineRule="auto"/>
              <w:rPr>
                <w:rFonts w:ascii="Arial" w:eastAsia="Arial" w:hAnsi="Arial" w:cs="Arial"/>
                <w:color w:val="010000"/>
                <w:sz w:val="20"/>
                <w:szCs w:val="20"/>
              </w:rPr>
            </w:pPr>
          </w:p>
        </w:tc>
        <w:tc>
          <w:tcPr>
            <w:tcW w:w="2553" w:type="pct"/>
            <w:shd w:val="clear" w:color="auto" w:fill="auto"/>
            <w:tcMar>
              <w:top w:w="0" w:type="dxa"/>
              <w:bottom w:w="0" w:type="dxa"/>
            </w:tcMar>
            <w:vAlign w:val="center"/>
          </w:tcPr>
          <w:p w14:paraId="25464596"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Dividend payment in cash</w:t>
            </w:r>
          </w:p>
        </w:tc>
        <w:tc>
          <w:tcPr>
            <w:tcW w:w="1111" w:type="pct"/>
            <w:shd w:val="clear" w:color="auto" w:fill="auto"/>
            <w:tcMar>
              <w:top w:w="0" w:type="dxa"/>
              <w:bottom w:w="0" w:type="dxa"/>
            </w:tcMar>
            <w:vAlign w:val="center"/>
          </w:tcPr>
          <w:p w14:paraId="13E85B12"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600,000,000,000</w:t>
            </w:r>
          </w:p>
        </w:tc>
        <w:tc>
          <w:tcPr>
            <w:tcW w:w="957" w:type="pct"/>
            <w:shd w:val="clear" w:color="auto" w:fill="auto"/>
            <w:tcMar>
              <w:top w:w="0" w:type="dxa"/>
              <w:bottom w:w="0" w:type="dxa"/>
            </w:tcMar>
            <w:vAlign w:val="center"/>
          </w:tcPr>
          <w:p w14:paraId="53FA7144"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20.00%</w:t>
            </w:r>
          </w:p>
        </w:tc>
      </w:tr>
      <w:tr w:rsidR="00E67962" w:rsidRPr="006271BB" w14:paraId="4F622DEA" w14:textId="77777777" w:rsidTr="00472AA7">
        <w:tc>
          <w:tcPr>
            <w:tcW w:w="379" w:type="pct"/>
            <w:shd w:val="clear" w:color="auto" w:fill="auto"/>
            <w:tcMar>
              <w:top w:w="0" w:type="dxa"/>
              <w:bottom w:w="0" w:type="dxa"/>
            </w:tcMar>
            <w:vAlign w:val="center"/>
          </w:tcPr>
          <w:p w14:paraId="0619B27C"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2.1</w:t>
            </w:r>
          </w:p>
        </w:tc>
        <w:tc>
          <w:tcPr>
            <w:tcW w:w="2553" w:type="pct"/>
            <w:shd w:val="clear" w:color="auto" w:fill="auto"/>
            <w:tcMar>
              <w:top w:w="0" w:type="dxa"/>
              <w:bottom w:w="0" w:type="dxa"/>
            </w:tcMar>
            <w:vAlign w:val="center"/>
          </w:tcPr>
          <w:p w14:paraId="22E0FA8B"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Prepaid dividends (*)</w:t>
            </w:r>
          </w:p>
        </w:tc>
        <w:tc>
          <w:tcPr>
            <w:tcW w:w="1111" w:type="pct"/>
            <w:shd w:val="clear" w:color="auto" w:fill="auto"/>
            <w:tcMar>
              <w:top w:w="0" w:type="dxa"/>
              <w:bottom w:w="0" w:type="dxa"/>
            </w:tcMar>
            <w:vAlign w:val="center"/>
          </w:tcPr>
          <w:p w14:paraId="2BF86284"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450,000,000,000</w:t>
            </w:r>
          </w:p>
        </w:tc>
        <w:tc>
          <w:tcPr>
            <w:tcW w:w="957" w:type="pct"/>
            <w:shd w:val="clear" w:color="auto" w:fill="auto"/>
            <w:tcMar>
              <w:top w:w="0" w:type="dxa"/>
              <w:bottom w:w="0" w:type="dxa"/>
            </w:tcMar>
            <w:vAlign w:val="center"/>
          </w:tcPr>
          <w:p w14:paraId="72E82862"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15.00%</w:t>
            </w:r>
          </w:p>
        </w:tc>
      </w:tr>
      <w:tr w:rsidR="00E67962" w:rsidRPr="006271BB" w14:paraId="6A321E4E" w14:textId="77777777" w:rsidTr="00472AA7">
        <w:tc>
          <w:tcPr>
            <w:tcW w:w="379" w:type="pct"/>
            <w:shd w:val="clear" w:color="auto" w:fill="auto"/>
            <w:tcMar>
              <w:top w:w="0" w:type="dxa"/>
              <w:bottom w:w="0" w:type="dxa"/>
            </w:tcMar>
            <w:vAlign w:val="center"/>
          </w:tcPr>
          <w:p w14:paraId="04883CA8"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2.2</w:t>
            </w:r>
          </w:p>
        </w:tc>
        <w:tc>
          <w:tcPr>
            <w:tcW w:w="2553" w:type="pct"/>
            <w:shd w:val="clear" w:color="auto" w:fill="auto"/>
            <w:tcMar>
              <w:top w:w="0" w:type="dxa"/>
              <w:bottom w:w="0" w:type="dxa"/>
            </w:tcMar>
            <w:vAlign w:val="center"/>
          </w:tcPr>
          <w:p w14:paraId="798BB9EA"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Remaining dividends for payment</w:t>
            </w:r>
          </w:p>
        </w:tc>
        <w:tc>
          <w:tcPr>
            <w:tcW w:w="1111" w:type="pct"/>
            <w:shd w:val="clear" w:color="auto" w:fill="auto"/>
            <w:tcMar>
              <w:top w:w="0" w:type="dxa"/>
              <w:bottom w:w="0" w:type="dxa"/>
            </w:tcMar>
            <w:vAlign w:val="center"/>
          </w:tcPr>
          <w:p w14:paraId="006851C1"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150,000,000,000</w:t>
            </w:r>
          </w:p>
        </w:tc>
        <w:tc>
          <w:tcPr>
            <w:tcW w:w="957" w:type="pct"/>
            <w:shd w:val="clear" w:color="auto" w:fill="auto"/>
            <w:tcMar>
              <w:top w:w="0" w:type="dxa"/>
              <w:bottom w:w="0" w:type="dxa"/>
            </w:tcMar>
            <w:vAlign w:val="center"/>
          </w:tcPr>
          <w:p w14:paraId="3D150373"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5.00%</w:t>
            </w:r>
          </w:p>
        </w:tc>
      </w:tr>
      <w:tr w:rsidR="00E67962" w:rsidRPr="006271BB" w14:paraId="6C4CE6FE" w14:textId="77777777" w:rsidTr="00472AA7">
        <w:tc>
          <w:tcPr>
            <w:tcW w:w="379" w:type="pct"/>
            <w:shd w:val="clear" w:color="auto" w:fill="auto"/>
            <w:tcMar>
              <w:top w:w="0" w:type="dxa"/>
              <w:bottom w:w="0" w:type="dxa"/>
            </w:tcMar>
            <w:vAlign w:val="center"/>
          </w:tcPr>
          <w:p w14:paraId="1FC18229"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III</w:t>
            </w:r>
          </w:p>
        </w:tc>
        <w:tc>
          <w:tcPr>
            <w:tcW w:w="2553" w:type="pct"/>
            <w:shd w:val="clear" w:color="auto" w:fill="auto"/>
            <w:tcMar>
              <w:top w:w="0" w:type="dxa"/>
              <w:bottom w:w="0" w:type="dxa"/>
            </w:tcMar>
            <w:vAlign w:val="center"/>
          </w:tcPr>
          <w:p w14:paraId="5DAB20FB"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Remaining undistributed profit after tax retained in the Separate Financial Statements</w:t>
            </w:r>
          </w:p>
        </w:tc>
        <w:tc>
          <w:tcPr>
            <w:tcW w:w="1111" w:type="pct"/>
            <w:shd w:val="clear" w:color="auto" w:fill="auto"/>
            <w:tcMar>
              <w:top w:w="0" w:type="dxa"/>
              <w:bottom w:w="0" w:type="dxa"/>
            </w:tcMar>
            <w:vAlign w:val="center"/>
          </w:tcPr>
          <w:p w14:paraId="091D1EF8"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778,202,564,542</w:t>
            </w:r>
          </w:p>
        </w:tc>
        <w:tc>
          <w:tcPr>
            <w:tcW w:w="957" w:type="pct"/>
            <w:shd w:val="clear" w:color="auto" w:fill="auto"/>
            <w:tcMar>
              <w:top w:w="0" w:type="dxa"/>
              <w:bottom w:w="0" w:type="dxa"/>
            </w:tcMar>
            <w:vAlign w:val="center"/>
          </w:tcPr>
          <w:p w14:paraId="3D39C525"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25.94%</w:t>
            </w:r>
          </w:p>
        </w:tc>
      </w:tr>
    </w:tbl>
    <w:p w14:paraId="5D469436"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 Pursuant to Annual General Mandate 2023 No. 01/NQ-DHDCD dated April 19, 2023, the Company's Board of Directors promulgated a Resolution to implement 02 rounds of dividend prepayment in 2023 </w:t>
      </w:r>
      <w:r w:rsidRPr="006271BB">
        <w:rPr>
          <w:rFonts w:ascii="Arial" w:hAnsi="Arial" w:cs="Arial"/>
          <w:color w:val="010000"/>
          <w:sz w:val="20"/>
        </w:rPr>
        <w:lastRenderedPageBreak/>
        <w:t>as follows:</w:t>
      </w:r>
    </w:p>
    <w:p w14:paraId="77B0B1DB" w14:textId="77777777" w:rsidR="00E67962" w:rsidRPr="006271BB" w:rsidRDefault="00472AA7" w:rsidP="005338B5">
      <w:pPr>
        <w:numPr>
          <w:ilvl w:val="0"/>
          <w:numId w:val="9"/>
        </w:numPr>
        <w:pBdr>
          <w:top w:val="nil"/>
          <w:left w:val="nil"/>
          <w:bottom w:val="nil"/>
          <w:right w:val="nil"/>
          <w:between w:val="nil"/>
        </w:pBdr>
        <w:tabs>
          <w:tab w:val="left" w:pos="808"/>
        </w:tabs>
        <w:spacing w:after="120" w:line="360" w:lineRule="auto"/>
        <w:jc w:val="both"/>
        <w:rPr>
          <w:rFonts w:ascii="Arial" w:eastAsia="Arial" w:hAnsi="Arial" w:cs="Arial"/>
          <w:color w:val="010000"/>
          <w:sz w:val="20"/>
          <w:szCs w:val="20"/>
        </w:rPr>
      </w:pPr>
      <w:r w:rsidRPr="006271BB">
        <w:rPr>
          <w:rFonts w:ascii="Arial" w:hAnsi="Arial" w:cs="Arial"/>
          <w:color w:val="010000"/>
          <w:sz w:val="20"/>
        </w:rPr>
        <w:t>Prepay dividends in cash at the rate of 10% of par value/1 share for the first round (shareholders receive VND 1,000 for every share they own) according to Resolution No. 38/2023/GE/NQ-HDQT dated August 30, 2023.</w:t>
      </w:r>
    </w:p>
    <w:p w14:paraId="50A42162" w14:textId="77777777" w:rsidR="00E67962" w:rsidRPr="006271BB" w:rsidRDefault="00472AA7" w:rsidP="005338B5">
      <w:pPr>
        <w:numPr>
          <w:ilvl w:val="0"/>
          <w:numId w:val="9"/>
        </w:numPr>
        <w:pBdr>
          <w:top w:val="nil"/>
          <w:left w:val="nil"/>
          <w:bottom w:val="nil"/>
          <w:right w:val="nil"/>
          <w:between w:val="nil"/>
        </w:pBdr>
        <w:tabs>
          <w:tab w:val="left" w:pos="808"/>
        </w:tabs>
        <w:spacing w:after="120" w:line="360" w:lineRule="auto"/>
        <w:jc w:val="both"/>
        <w:rPr>
          <w:rFonts w:ascii="Arial" w:eastAsia="Arial" w:hAnsi="Arial" w:cs="Arial"/>
          <w:color w:val="010000"/>
          <w:sz w:val="20"/>
          <w:szCs w:val="20"/>
        </w:rPr>
      </w:pPr>
      <w:r w:rsidRPr="006271BB">
        <w:rPr>
          <w:rFonts w:ascii="Arial" w:hAnsi="Arial" w:cs="Arial"/>
          <w:color w:val="010000"/>
          <w:sz w:val="20"/>
        </w:rPr>
        <w:t>Prepay dividends in cash at the rate of 5% of par value/1 share for the second round (shareholders receive VND 500 for every share they own) according to Resolution No. 01/2024/GE/NQ-HDQT dated January 2, 2024.</w:t>
      </w:r>
    </w:p>
    <w:p w14:paraId="43A18C23"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‎‎Article 5. Approve the main plan targets for 2024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8"/>
        <w:gridCol w:w="4391"/>
        <w:gridCol w:w="1758"/>
        <w:gridCol w:w="2200"/>
      </w:tblGrid>
      <w:tr w:rsidR="00E67962" w:rsidRPr="006271BB" w14:paraId="28CA4496" w14:textId="77777777" w:rsidTr="00472AA7">
        <w:tc>
          <w:tcPr>
            <w:tcW w:w="370" w:type="pct"/>
            <w:shd w:val="clear" w:color="auto" w:fill="auto"/>
            <w:tcMar>
              <w:top w:w="0" w:type="dxa"/>
              <w:bottom w:w="0" w:type="dxa"/>
            </w:tcMar>
            <w:vAlign w:val="center"/>
          </w:tcPr>
          <w:p w14:paraId="2789E4E5"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No.</w:t>
            </w:r>
          </w:p>
        </w:tc>
        <w:tc>
          <w:tcPr>
            <w:tcW w:w="2435" w:type="pct"/>
            <w:shd w:val="clear" w:color="auto" w:fill="auto"/>
            <w:tcMar>
              <w:top w:w="0" w:type="dxa"/>
              <w:bottom w:w="0" w:type="dxa"/>
            </w:tcMar>
            <w:vAlign w:val="center"/>
          </w:tcPr>
          <w:p w14:paraId="701EF849"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Target</w:t>
            </w:r>
          </w:p>
        </w:tc>
        <w:tc>
          <w:tcPr>
            <w:tcW w:w="975" w:type="pct"/>
            <w:shd w:val="clear" w:color="auto" w:fill="auto"/>
            <w:tcMar>
              <w:top w:w="0" w:type="dxa"/>
              <w:bottom w:w="0" w:type="dxa"/>
            </w:tcMar>
            <w:vAlign w:val="center"/>
          </w:tcPr>
          <w:p w14:paraId="6F27F337"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Unit</w:t>
            </w:r>
          </w:p>
        </w:tc>
        <w:tc>
          <w:tcPr>
            <w:tcW w:w="1220" w:type="pct"/>
            <w:shd w:val="clear" w:color="auto" w:fill="auto"/>
            <w:tcMar>
              <w:top w:w="0" w:type="dxa"/>
              <w:bottom w:w="0" w:type="dxa"/>
            </w:tcMar>
            <w:vAlign w:val="center"/>
          </w:tcPr>
          <w:p w14:paraId="6AAA77FE" w14:textId="025538B4"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 xml:space="preserve"> Plan</w:t>
            </w:r>
            <w:r w:rsidR="002C6751" w:rsidRPr="006271BB">
              <w:rPr>
                <w:rFonts w:ascii="Arial" w:hAnsi="Arial" w:cs="Arial"/>
                <w:color w:val="010000"/>
                <w:sz w:val="20"/>
              </w:rPr>
              <w:t xml:space="preserve"> 2024</w:t>
            </w:r>
          </w:p>
        </w:tc>
      </w:tr>
      <w:tr w:rsidR="00E67962" w:rsidRPr="006271BB" w14:paraId="6083CB72" w14:textId="77777777" w:rsidTr="00472AA7">
        <w:tc>
          <w:tcPr>
            <w:tcW w:w="370" w:type="pct"/>
            <w:shd w:val="clear" w:color="auto" w:fill="auto"/>
            <w:tcMar>
              <w:top w:w="0" w:type="dxa"/>
              <w:bottom w:w="0" w:type="dxa"/>
            </w:tcMar>
            <w:vAlign w:val="center"/>
          </w:tcPr>
          <w:p w14:paraId="72B5E4E3"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w:t>
            </w:r>
          </w:p>
        </w:tc>
        <w:tc>
          <w:tcPr>
            <w:tcW w:w="2435" w:type="pct"/>
            <w:shd w:val="clear" w:color="auto" w:fill="auto"/>
            <w:tcMar>
              <w:top w:w="0" w:type="dxa"/>
              <w:bottom w:w="0" w:type="dxa"/>
            </w:tcMar>
            <w:vAlign w:val="center"/>
          </w:tcPr>
          <w:p w14:paraId="471AD3B9"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Consolidated revenue</w:t>
            </w:r>
          </w:p>
        </w:tc>
        <w:tc>
          <w:tcPr>
            <w:tcW w:w="975" w:type="pct"/>
            <w:shd w:val="clear" w:color="auto" w:fill="auto"/>
            <w:tcMar>
              <w:top w:w="0" w:type="dxa"/>
              <w:bottom w:w="0" w:type="dxa"/>
            </w:tcMar>
            <w:vAlign w:val="center"/>
          </w:tcPr>
          <w:p w14:paraId="6B393267"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Million VND</w:t>
            </w:r>
          </w:p>
        </w:tc>
        <w:tc>
          <w:tcPr>
            <w:tcW w:w="1220" w:type="pct"/>
            <w:shd w:val="clear" w:color="auto" w:fill="auto"/>
            <w:tcMar>
              <w:top w:w="0" w:type="dxa"/>
              <w:bottom w:w="0" w:type="dxa"/>
            </w:tcMar>
            <w:vAlign w:val="center"/>
          </w:tcPr>
          <w:p w14:paraId="0C4F7D3A"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18,381,210</w:t>
            </w:r>
          </w:p>
        </w:tc>
      </w:tr>
      <w:tr w:rsidR="00E67962" w:rsidRPr="006271BB" w14:paraId="584CBE3C" w14:textId="77777777" w:rsidTr="00472AA7">
        <w:tc>
          <w:tcPr>
            <w:tcW w:w="370" w:type="pct"/>
            <w:shd w:val="clear" w:color="auto" w:fill="auto"/>
            <w:tcMar>
              <w:top w:w="0" w:type="dxa"/>
              <w:bottom w:w="0" w:type="dxa"/>
            </w:tcMar>
            <w:vAlign w:val="center"/>
          </w:tcPr>
          <w:p w14:paraId="3B20C927"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2</w:t>
            </w:r>
          </w:p>
        </w:tc>
        <w:tc>
          <w:tcPr>
            <w:tcW w:w="2435" w:type="pct"/>
            <w:shd w:val="clear" w:color="auto" w:fill="auto"/>
            <w:tcMar>
              <w:top w:w="0" w:type="dxa"/>
              <w:bottom w:w="0" w:type="dxa"/>
            </w:tcMar>
            <w:vAlign w:val="center"/>
          </w:tcPr>
          <w:p w14:paraId="73D1B6DB"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Consolidated profit before tax</w:t>
            </w:r>
          </w:p>
        </w:tc>
        <w:tc>
          <w:tcPr>
            <w:tcW w:w="975" w:type="pct"/>
            <w:shd w:val="clear" w:color="auto" w:fill="auto"/>
            <w:tcMar>
              <w:top w:w="0" w:type="dxa"/>
              <w:bottom w:w="0" w:type="dxa"/>
            </w:tcMar>
            <w:vAlign w:val="center"/>
          </w:tcPr>
          <w:p w14:paraId="4F60D9A8"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Million VND</w:t>
            </w:r>
          </w:p>
        </w:tc>
        <w:tc>
          <w:tcPr>
            <w:tcW w:w="1220" w:type="pct"/>
            <w:shd w:val="clear" w:color="auto" w:fill="auto"/>
            <w:tcMar>
              <w:top w:w="0" w:type="dxa"/>
              <w:bottom w:w="0" w:type="dxa"/>
            </w:tcMar>
            <w:vAlign w:val="center"/>
          </w:tcPr>
          <w:p w14:paraId="518AE3A9"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1,158,000</w:t>
            </w:r>
          </w:p>
        </w:tc>
      </w:tr>
      <w:tr w:rsidR="00E67962" w:rsidRPr="006271BB" w14:paraId="6453A0F5" w14:textId="77777777" w:rsidTr="00472AA7">
        <w:tc>
          <w:tcPr>
            <w:tcW w:w="370" w:type="pct"/>
            <w:shd w:val="clear" w:color="auto" w:fill="auto"/>
            <w:tcMar>
              <w:top w:w="0" w:type="dxa"/>
              <w:bottom w:w="0" w:type="dxa"/>
            </w:tcMar>
            <w:vAlign w:val="center"/>
          </w:tcPr>
          <w:p w14:paraId="132AD698"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3</w:t>
            </w:r>
          </w:p>
        </w:tc>
        <w:tc>
          <w:tcPr>
            <w:tcW w:w="2435" w:type="pct"/>
            <w:shd w:val="clear" w:color="auto" w:fill="auto"/>
            <w:tcMar>
              <w:top w:w="0" w:type="dxa"/>
              <w:bottom w:w="0" w:type="dxa"/>
            </w:tcMar>
            <w:vAlign w:val="center"/>
          </w:tcPr>
          <w:p w14:paraId="6D77540A"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Consolidated profit after tax</w:t>
            </w:r>
          </w:p>
        </w:tc>
        <w:tc>
          <w:tcPr>
            <w:tcW w:w="975" w:type="pct"/>
            <w:shd w:val="clear" w:color="auto" w:fill="auto"/>
            <w:tcMar>
              <w:top w:w="0" w:type="dxa"/>
              <w:bottom w:w="0" w:type="dxa"/>
            </w:tcMar>
            <w:vAlign w:val="center"/>
          </w:tcPr>
          <w:p w14:paraId="15E00723"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Million VND</w:t>
            </w:r>
          </w:p>
        </w:tc>
        <w:tc>
          <w:tcPr>
            <w:tcW w:w="1220" w:type="pct"/>
            <w:shd w:val="clear" w:color="auto" w:fill="auto"/>
            <w:tcMar>
              <w:top w:w="0" w:type="dxa"/>
              <w:bottom w:w="0" w:type="dxa"/>
            </w:tcMar>
            <w:vAlign w:val="center"/>
          </w:tcPr>
          <w:p w14:paraId="4E7E74CC"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900,834</w:t>
            </w:r>
          </w:p>
        </w:tc>
      </w:tr>
      <w:tr w:rsidR="00E67962" w:rsidRPr="006271BB" w14:paraId="594600BB" w14:textId="77777777" w:rsidTr="00472AA7">
        <w:tc>
          <w:tcPr>
            <w:tcW w:w="370" w:type="pct"/>
            <w:shd w:val="clear" w:color="auto" w:fill="auto"/>
            <w:tcMar>
              <w:top w:w="0" w:type="dxa"/>
              <w:bottom w:w="0" w:type="dxa"/>
            </w:tcMar>
            <w:vAlign w:val="center"/>
          </w:tcPr>
          <w:p w14:paraId="7752B197"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4</w:t>
            </w:r>
          </w:p>
        </w:tc>
        <w:tc>
          <w:tcPr>
            <w:tcW w:w="2435" w:type="pct"/>
            <w:shd w:val="clear" w:color="auto" w:fill="auto"/>
            <w:tcMar>
              <w:top w:w="0" w:type="dxa"/>
              <w:bottom w:w="0" w:type="dxa"/>
            </w:tcMar>
            <w:vAlign w:val="center"/>
          </w:tcPr>
          <w:p w14:paraId="3A73DED9"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Dividends (divided from profit after tax in 2023 and residual source) (*)</w:t>
            </w:r>
          </w:p>
        </w:tc>
        <w:tc>
          <w:tcPr>
            <w:tcW w:w="975" w:type="pct"/>
            <w:shd w:val="clear" w:color="auto" w:fill="auto"/>
            <w:tcMar>
              <w:top w:w="0" w:type="dxa"/>
              <w:bottom w:w="0" w:type="dxa"/>
            </w:tcMar>
            <w:vAlign w:val="center"/>
          </w:tcPr>
          <w:p w14:paraId="0A390161"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%/Charter capital</w:t>
            </w:r>
          </w:p>
        </w:tc>
        <w:tc>
          <w:tcPr>
            <w:tcW w:w="1220" w:type="pct"/>
            <w:shd w:val="clear" w:color="auto" w:fill="auto"/>
            <w:tcMar>
              <w:top w:w="0" w:type="dxa"/>
              <w:bottom w:w="0" w:type="dxa"/>
            </w:tcMar>
            <w:vAlign w:val="center"/>
          </w:tcPr>
          <w:p w14:paraId="47F691D9" w14:textId="77777777" w:rsidR="00E67962" w:rsidRPr="006271BB" w:rsidRDefault="00472AA7" w:rsidP="00472AA7">
            <w:pPr>
              <w:pBdr>
                <w:top w:val="nil"/>
                <w:left w:val="nil"/>
                <w:bottom w:val="nil"/>
                <w:right w:val="nil"/>
                <w:between w:val="nil"/>
              </w:pBdr>
              <w:spacing w:after="120" w:line="360" w:lineRule="auto"/>
              <w:rPr>
                <w:rFonts w:ascii="Arial" w:eastAsia="Arial" w:hAnsi="Arial" w:cs="Arial"/>
                <w:color w:val="010000"/>
                <w:sz w:val="20"/>
                <w:szCs w:val="20"/>
              </w:rPr>
            </w:pPr>
            <w:r w:rsidRPr="006271BB">
              <w:rPr>
                <w:rFonts w:ascii="Arial" w:hAnsi="Arial" w:cs="Arial"/>
                <w:color w:val="010000"/>
                <w:sz w:val="20"/>
              </w:rPr>
              <w:t>20%</w:t>
            </w:r>
          </w:p>
        </w:tc>
      </w:tr>
    </w:tbl>
    <w:p w14:paraId="6D96EA09" w14:textId="035065AD"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 The </w:t>
      </w:r>
      <w:r w:rsidR="005338B5">
        <w:rPr>
          <w:rFonts w:ascii="Arial" w:hAnsi="Arial" w:cs="Arial"/>
          <w:color w:val="010000"/>
          <w:sz w:val="20"/>
        </w:rPr>
        <w:t>General Meeting</w:t>
      </w:r>
      <w:r w:rsidRPr="006271BB">
        <w:rPr>
          <w:rFonts w:ascii="Arial" w:hAnsi="Arial" w:cs="Arial"/>
          <w:color w:val="010000"/>
          <w:sz w:val="20"/>
        </w:rPr>
        <w:t xml:space="preserve"> authorizes the Board of Directors to decide on all contents/issues related to the dividend prepayment of 2024 in cash if it is deemed appropriate for the Company's operations. The prepayment can be made in one lump sum or many times depending on the decision of the Board of Directors.</w:t>
      </w:r>
    </w:p>
    <w:p w14:paraId="519D4EE2"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‎‎Article 6. Approve the income and remuneration in 2023 and the income and remuneration plan for 2024 of the Board of Directors and the Supervisory Board of the Company with some main contents as follows:</w:t>
      </w:r>
    </w:p>
    <w:p w14:paraId="1AE8186F"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Total remuneration, salary and other income of the Board of Directors; remuneration of the Supervisory Board of the Company and detailed payments to each member of the Board of Directors and the Supervisory Board in 2023 are shown in Note No. 29 - Transactions and balances with related parties in the Company's Audited Separate Financial Statements 2023.</w:t>
      </w:r>
    </w:p>
    <w:p w14:paraId="54FE161E"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The planned income and remuneration for 2024 of the Board of Directors and the Supervisory Board of the Company are as follows:</w:t>
      </w:r>
    </w:p>
    <w:p w14:paraId="32A354CA" w14:textId="00E2ADBD" w:rsidR="00E67962" w:rsidRPr="006271BB" w:rsidRDefault="00472AA7" w:rsidP="005338B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1BB">
        <w:rPr>
          <w:rFonts w:ascii="Arial" w:hAnsi="Arial" w:cs="Arial"/>
          <w:color w:val="010000"/>
          <w:sz w:val="20"/>
        </w:rPr>
        <w:t xml:space="preserve">Total remuneration, salary and other income of the Board of Directors: VND 2,180,000,000. The Board of Directors decides on the specific remuneration and income, payment principles, payment methods, and payment time for each member of the Board of Directors in 2024 to ensure compliance with the Board of Directors' remuneration and income plan approved by the </w:t>
      </w:r>
      <w:r w:rsidR="005338B5">
        <w:rPr>
          <w:rFonts w:ascii="Arial" w:hAnsi="Arial" w:cs="Arial"/>
          <w:color w:val="010000"/>
          <w:sz w:val="20"/>
        </w:rPr>
        <w:t>General Meeting</w:t>
      </w:r>
      <w:r w:rsidRPr="006271BB">
        <w:rPr>
          <w:rFonts w:ascii="Arial" w:hAnsi="Arial" w:cs="Arial"/>
          <w:color w:val="010000"/>
          <w:sz w:val="20"/>
        </w:rPr>
        <w:t>.</w:t>
      </w:r>
    </w:p>
    <w:p w14:paraId="3EF8A5B2" w14:textId="77777777" w:rsidR="00E67962" w:rsidRPr="006271BB" w:rsidRDefault="00472AA7" w:rsidP="005338B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271BB">
        <w:rPr>
          <w:rFonts w:ascii="Arial" w:hAnsi="Arial" w:cs="Arial"/>
          <w:color w:val="010000"/>
          <w:sz w:val="20"/>
        </w:rPr>
        <w:t>Total income and remuneration of the Supervisory Board: VND 240,000,000 (In which: Chief of the Supervisory Board: VND 10,000,000/month, member of the Supervisory Board: VND 5,000,000/month/person and paid on a full month basis).</w:t>
      </w:r>
    </w:p>
    <w:p w14:paraId="63F96F1C"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‎‎Article 7. Approve the selection of an independent audit company for the fiscal year 2024 as follows:</w:t>
      </w:r>
    </w:p>
    <w:p w14:paraId="73287004" w14:textId="3011420F"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lastRenderedPageBreak/>
        <w:t xml:space="preserve">The </w:t>
      </w:r>
      <w:r w:rsidR="005338B5">
        <w:rPr>
          <w:rFonts w:ascii="Arial" w:hAnsi="Arial" w:cs="Arial"/>
          <w:color w:val="010000"/>
          <w:sz w:val="20"/>
        </w:rPr>
        <w:t>General Meeting</w:t>
      </w:r>
      <w:r w:rsidRPr="006271BB">
        <w:rPr>
          <w:rFonts w:ascii="Arial" w:hAnsi="Arial" w:cs="Arial"/>
          <w:color w:val="010000"/>
          <w:sz w:val="20"/>
        </w:rPr>
        <w:t xml:space="preserve"> approves the list of independent audit companies below and authorizes the Board of Directors to select one of these three independent audit companies to audit the Financial Statements for the fiscal year 2024:</w:t>
      </w:r>
    </w:p>
    <w:p w14:paraId="715E4A67" w14:textId="77777777" w:rsidR="00E67962" w:rsidRPr="006271BB" w:rsidRDefault="00472AA7" w:rsidP="005338B5">
      <w:pPr>
        <w:numPr>
          <w:ilvl w:val="0"/>
          <w:numId w:val="10"/>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6271BB">
        <w:rPr>
          <w:rFonts w:ascii="Arial" w:hAnsi="Arial" w:cs="Arial"/>
          <w:color w:val="010000"/>
          <w:sz w:val="20"/>
        </w:rPr>
        <w:t>Deloitte Vietnam Company Limited</w:t>
      </w:r>
    </w:p>
    <w:p w14:paraId="4959427C"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Address: Floor 15, </w:t>
      </w:r>
      <w:proofErr w:type="spellStart"/>
      <w:r w:rsidRPr="006271BB">
        <w:rPr>
          <w:rFonts w:ascii="Arial" w:hAnsi="Arial" w:cs="Arial"/>
          <w:color w:val="010000"/>
          <w:sz w:val="20"/>
        </w:rPr>
        <w:t>Vinaconex</w:t>
      </w:r>
      <w:proofErr w:type="spellEnd"/>
      <w:r w:rsidRPr="006271BB">
        <w:rPr>
          <w:rFonts w:ascii="Arial" w:hAnsi="Arial" w:cs="Arial"/>
          <w:color w:val="010000"/>
          <w:sz w:val="20"/>
        </w:rPr>
        <w:t xml:space="preserve"> Building, 34 Lang Ha Street, Lang Ha Ward, Dong Da District, Hanoi City</w:t>
      </w:r>
    </w:p>
    <w:p w14:paraId="00586CA3" w14:textId="77777777" w:rsidR="00E67962" w:rsidRPr="006271BB" w:rsidRDefault="00472AA7" w:rsidP="005338B5">
      <w:pPr>
        <w:numPr>
          <w:ilvl w:val="0"/>
          <w:numId w:val="10"/>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6271BB">
        <w:rPr>
          <w:rFonts w:ascii="Arial" w:hAnsi="Arial" w:cs="Arial"/>
          <w:color w:val="010000"/>
          <w:sz w:val="20"/>
        </w:rPr>
        <w:t>Ernst &amp; Young Vietnam Limited</w:t>
      </w:r>
    </w:p>
    <w:p w14:paraId="5B4C57AB"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Address: No. 2 Hai Trieu, Ben </w:t>
      </w:r>
      <w:proofErr w:type="spellStart"/>
      <w:r w:rsidRPr="006271BB">
        <w:rPr>
          <w:rFonts w:ascii="Arial" w:hAnsi="Arial" w:cs="Arial"/>
          <w:color w:val="010000"/>
          <w:sz w:val="20"/>
        </w:rPr>
        <w:t>Nghe</w:t>
      </w:r>
      <w:proofErr w:type="spellEnd"/>
      <w:r w:rsidRPr="006271BB">
        <w:rPr>
          <w:rFonts w:ascii="Arial" w:hAnsi="Arial" w:cs="Arial"/>
          <w:color w:val="010000"/>
          <w:sz w:val="20"/>
        </w:rPr>
        <w:t xml:space="preserve"> Ward, District 1, Ho Chi Minh City.</w:t>
      </w:r>
    </w:p>
    <w:p w14:paraId="1ACC2CA4" w14:textId="77777777" w:rsidR="00E67962" w:rsidRPr="006271BB" w:rsidRDefault="00472AA7" w:rsidP="005338B5">
      <w:pPr>
        <w:numPr>
          <w:ilvl w:val="0"/>
          <w:numId w:val="10"/>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KPMG Limited </w:t>
      </w:r>
    </w:p>
    <w:p w14:paraId="25D9588F"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Address: 46th floor, </w:t>
      </w:r>
      <w:proofErr w:type="spellStart"/>
      <w:r w:rsidRPr="006271BB">
        <w:rPr>
          <w:rFonts w:ascii="Arial" w:hAnsi="Arial" w:cs="Arial"/>
          <w:color w:val="010000"/>
          <w:sz w:val="20"/>
        </w:rPr>
        <w:t>Keangnam</w:t>
      </w:r>
      <w:proofErr w:type="spellEnd"/>
      <w:r w:rsidRPr="006271BB">
        <w:rPr>
          <w:rFonts w:ascii="Arial" w:hAnsi="Arial" w:cs="Arial"/>
          <w:color w:val="010000"/>
          <w:sz w:val="20"/>
        </w:rPr>
        <w:t xml:space="preserve"> Tower, Hanoi Landmark Tower, 72 Floor Building, Lot E6, Pham Hung Street, </w:t>
      </w:r>
      <w:proofErr w:type="spellStart"/>
      <w:r w:rsidRPr="006271BB">
        <w:rPr>
          <w:rFonts w:ascii="Arial" w:hAnsi="Arial" w:cs="Arial"/>
          <w:color w:val="010000"/>
          <w:sz w:val="20"/>
        </w:rPr>
        <w:t>Cau</w:t>
      </w:r>
      <w:proofErr w:type="spellEnd"/>
      <w:r w:rsidRPr="006271BB">
        <w:rPr>
          <w:rFonts w:ascii="Arial" w:hAnsi="Arial" w:cs="Arial"/>
          <w:color w:val="010000"/>
          <w:sz w:val="20"/>
        </w:rPr>
        <w:t xml:space="preserve"> </w:t>
      </w:r>
      <w:proofErr w:type="spellStart"/>
      <w:r w:rsidRPr="006271BB">
        <w:rPr>
          <w:rFonts w:ascii="Arial" w:hAnsi="Arial" w:cs="Arial"/>
          <w:color w:val="010000"/>
          <w:sz w:val="20"/>
        </w:rPr>
        <w:t>Giay</w:t>
      </w:r>
      <w:proofErr w:type="spellEnd"/>
      <w:r w:rsidRPr="006271BB">
        <w:rPr>
          <w:rFonts w:ascii="Arial" w:hAnsi="Arial" w:cs="Arial"/>
          <w:color w:val="010000"/>
          <w:sz w:val="20"/>
        </w:rPr>
        <w:t xml:space="preserve"> New Urban Area, Me Tri Ward, Nam </w:t>
      </w:r>
      <w:proofErr w:type="spellStart"/>
      <w:r w:rsidRPr="006271BB">
        <w:rPr>
          <w:rFonts w:ascii="Arial" w:hAnsi="Arial" w:cs="Arial"/>
          <w:color w:val="010000"/>
          <w:sz w:val="20"/>
        </w:rPr>
        <w:t>Tu</w:t>
      </w:r>
      <w:proofErr w:type="spellEnd"/>
      <w:r w:rsidRPr="006271BB">
        <w:rPr>
          <w:rFonts w:ascii="Arial" w:hAnsi="Arial" w:cs="Arial"/>
          <w:color w:val="010000"/>
          <w:sz w:val="20"/>
        </w:rPr>
        <w:t xml:space="preserve"> </w:t>
      </w:r>
      <w:proofErr w:type="spellStart"/>
      <w:r w:rsidRPr="006271BB">
        <w:rPr>
          <w:rFonts w:ascii="Arial" w:hAnsi="Arial" w:cs="Arial"/>
          <w:color w:val="010000"/>
          <w:sz w:val="20"/>
        </w:rPr>
        <w:t>Liem</w:t>
      </w:r>
      <w:proofErr w:type="spellEnd"/>
      <w:r w:rsidRPr="006271BB">
        <w:rPr>
          <w:rFonts w:ascii="Arial" w:hAnsi="Arial" w:cs="Arial"/>
          <w:color w:val="010000"/>
          <w:sz w:val="20"/>
        </w:rPr>
        <w:t xml:space="preserve"> District, Hanoi City.</w:t>
      </w:r>
    </w:p>
    <w:p w14:paraId="1E273CA5" w14:textId="65F4269A"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‎‎Article 8. Approve selecting an independent audit company to audit other activities of the Company as they arise according to work requirements. The </w:t>
      </w:r>
      <w:r w:rsidR="005338B5">
        <w:rPr>
          <w:rFonts w:ascii="Arial" w:hAnsi="Arial" w:cs="Arial"/>
          <w:color w:val="010000"/>
          <w:sz w:val="20"/>
        </w:rPr>
        <w:t>General Meeting</w:t>
      </w:r>
      <w:r w:rsidRPr="006271BB">
        <w:rPr>
          <w:rFonts w:ascii="Arial" w:hAnsi="Arial" w:cs="Arial"/>
          <w:color w:val="010000"/>
          <w:sz w:val="20"/>
        </w:rPr>
        <w:t xml:space="preserve"> authorizes the Board of Directors to select an independent audit company from the list of auditing organizations approved by the State Securities Commission to audit in accordance with the provisions of the Securities Law and the law on independent auditing to audit other activities of the Company as they arise according to work requirements.</w:t>
      </w:r>
    </w:p>
    <w:p w14:paraId="624E3F7C"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‎‎Article 9. Approve transactions with the affiliated person of the Company in 2024 as follows:</w:t>
      </w:r>
    </w:p>
    <w:p w14:paraId="6EE66511"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Approve signing and implementing contracts and transactions between the Company and the affiliated person according to the provisions of the Company's Charter and Article 167 of the Law on Enterprises 2020 (except for contracts prohibited from being performed according to the provisions of Article 293 of Decree 155/2020/ND-CP guiding the Law on Securities 2019 and other legal regulations, if any) with the following main contents of contracts and transactions:</w:t>
      </w:r>
    </w:p>
    <w:p w14:paraId="17C02208" w14:textId="77777777" w:rsidR="00E67962" w:rsidRPr="006271BB" w:rsidRDefault="00472AA7" w:rsidP="005338B5">
      <w:pPr>
        <w:numPr>
          <w:ilvl w:val="0"/>
          <w:numId w:val="1"/>
        </w:numPr>
        <w:pBdr>
          <w:top w:val="nil"/>
          <w:left w:val="nil"/>
          <w:bottom w:val="nil"/>
          <w:right w:val="nil"/>
          <w:between w:val="nil"/>
        </w:pBdr>
        <w:tabs>
          <w:tab w:val="left" w:pos="506"/>
        </w:tabs>
        <w:spacing w:after="120" w:line="360" w:lineRule="auto"/>
        <w:jc w:val="both"/>
        <w:rPr>
          <w:rFonts w:ascii="Arial" w:eastAsia="Arial" w:hAnsi="Arial" w:cs="Arial"/>
          <w:color w:val="010000"/>
          <w:sz w:val="20"/>
          <w:szCs w:val="20"/>
        </w:rPr>
      </w:pPr>
      <w:r w:rsidRPr="006271BB">
        <w:rPr>
          <w:rFonts w:ascii="Arial" w:hAnsi="Arial" w:cs="Arial"/>
          <w:color w:val="010000"/>
          <w:sz w:val="20"/>
        </w:rPr>
        <w:t>Affiliated persons signing contracts and transactions with the Company: GELEX Group JSC (hereinafter referred to as “affiliated person”).</w:t>
      </w:r>
    </w:p>
    <w:p w14:paraId="40E65344" w14:textId="77777777" w:rsidR="00E67962" w:rsidRPr="006271BB" w:rsidRDefault="00472AA7" w:rsidP="005338B5">
      <w:pPr>
        <w:numPr>
          <w:ilvl w:val="0"/>
          <w:numId w:val="8"/>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6271BB">
        <w:rPr>
          <w:rFonts w:ascii="Arial" w:hAnsi="Arial" w:cs="Arial"/>
          <w:color w:val="010000"/>
          <w:sz w:val="20"/>
        </w:rPr>
        <w:t>Relations with the Company: Holding Company of the Company.</w:t>
      </w:r>
    </w:p>
    <w:p w14:paraId="5F1520AF" w14:textId="77777777" w:rsidR="00E67962" w:rsidRPr="006271BB" w:rsidRDefault="00472AA7" w:rsidP="005338B5">
      <w:pPr>
        <w:numPr>
          <w:ilvl w:val="0"/>
          <w:numId w:val="1"/>
        </w:numPr>
        <w:pBdr>
          <w:top w:val="nil"/>
          <w:left w:val="nil"/>
          <w:bottom w:val="nil"/>
          <w:right w:val="nil"/>
          <w:between w:val="nil"/>
        </w:pBdr>
        <w:tabs>
          <w:tab w:val="left" w:pos="506"/>
        </w:tabs>
        <w:spacing w:after="120" w:line="360" w:lineRule="auto"/>
        <w:jc w:val="both"/>
        <w:rPr>
          <w:rFonts w:ascii="Arial" w:eastAsia="Arial" w:hAnsi="Arial" w:cs="Arial"/>
          <w:color w:val="010000"/>
          <w:sz w:val="20"/>
          <w:szCs w:val="20"/>
        </w:rPr>
      </w:pPr>
      <w:r w:rsidRPr="006271BB">
        <w:rPr>
          <w:rFonts w:ascii="Arial" w:hAnsi="Arial" w:cs="Arial"/>
          <w:color w:val="010000"/>
          <w:sz w:val="20"/>
        </w:rPr>
        <w:t>Subjects of contracts and transactions:</w:t>
      </w:r>
    </w:p>
    <w:p w14:paraId="4893B044" w14:textId="77777777" w:rsidR="00E67962" w:rsidRPr="006271BB" w:rsidRDefault="00472AA7" w:rsidP="005338B5">
      <w:pPr>
        <w:numPr>
          <w:ilvl w:val="0"/>
          <w:numId w:val="8"/>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6271BB">
        <w:rPr>
          <w:rFonts w:ascii="Arial" w:hAnsi="Arial" w:cs="Arial"/>
          <w:color w:val="010000"/>
          <w:sz w:val="20"/>
        </w:rPr>
        <w:t>Borrowing/lending transactions and other similar transactions;</w:t>
      </w:r>
    </w:p>
    <w:p w14:paraId="64DE009C" w14:textId="77777777" w:rsidR="00E67962" w:rsidRPr="006271BB" w:rsidRDefault="00472AA7" w:rsidP="005338B5">
      <w:pPr>
        <w:numPr>
          <w:ilvl w:val="0"/>
          <w:numId w:val="8"/>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6271BB">
        <w:rPr>
          <w:rFonts w:ascii="Arial" w:hAnsi="Arial" w:cs="Arial"/>
          <w:color w:val="010000"/>
          <w:sz w:val="20"/>
        </w:rPr>
        <w:t>Secured transactions (guarantee, pledge, mortgage...).</w:t>
      </w:r>
    </w:p>
    <w:p w14:paraId="33CA4DB2" w14:textId="77777777" w:rsidR="00E67962" w:rsidRPr="006271BB" w:rsidRDefault="00472AA7" w:rsidP="005338B5">
      <w:pPr>
        <w:numPr>
          <w:ilvl w:val="0"/>
          <w:numId w:val="1"/>
        </w:numPr>
        <w:pBdr>
          <w:top w:val="nil"/>
          <w:left w:val="nil"/>
          <w:bottom w:val="nil"/>
          <w:right w:val="nil"/>
          <w:between w:val="nil"/>
        </w:pBdr>
        <w:tabs>
          <w:tab w:val="left" w:pos="506"/>
        </w:tabs>
        <w:spacing w:after="120" w:line="360" w:lineRule="auto"/>
        <w:jc w:val="both"/>
        <w:rPr>
          <w:rFonts w:ascii="Arial" w:eastAsia="Arial" w:hAnsi="Arial" w:cs="Arial"/>
          <w:color w:val="010000"/>
          <w:sz w:val="20"/>
          <w:szCs w:val="20"/>
        </w:rPr>
      </w:pPr>
      <w:r w:rsidRPr="006271BB">
        <w:rPr>
          <w:rFonts w:ascii="Arial" w:hAnsi="Arial" w:cs="Arial"/>
          <w:color w:val="010000"/>
          <w:sz w:val="20"/>
        </w:rPr>
        <w:t>Value and limit of contracts and transactions mentioned above:</w:t>
      </w:r>
    </w:p>
    <w:p w14:paraId="73136427" w14:textId="49E21F22"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9.3.1 Contracts and transactions that the Company borrows or lends to affiliated persons with a value greater than 10% of the total value of the Company's assets recorded in the Company's most recent Consolidated Financial Statements, but the total value of the contracts and transactions with affiliated persons mentioned in this section 2.3.1 arising cumulatively from the date approved by the Annual </w:t>
      </w:r>
      <w:r w:rsidR="005338B5">
        <w:rPr>
          <w:rFonts w:ascii="Arial" w:hAnsi="Arial" w:cs="Arial"/>
          <w:color w:val="010000"/>
          <w:sz w:val="20"/>
        </w:rPr>
        <w:t>General Meeting</w:t>
      </w:r>
      <w:r w:rsidRPr="006271BB">
        <w:rPr>
          <w:rFonts w:ascii="Arial" w:hAnsi="Arial" w:cs="Arial"/>
          <w:color w:val="010000"/>
          <w:sz w:val="20"/>
        </w:rPr>
        <w:t xml:space="preserve"> 2024 to before the Annual </w:t>
      </w:r>
      <w:r w:rsidR="005338B5">
        <w:rPr>
          <w:rFonts w:ascii="Arial" w:hAnsi="Arial" w:cs="Arial"/>
          <w:color w:val="010000"/>
          <w:sz w:val="20"/>
        </w:rPr>
        <w:t>General Meeting</w:t>
      </w:r>
      <w:r w:rsidRPr="006271BB">
        <w:rPr>
          <w:rFonts w:ascii="Arial" w:hAnsi="Arial" w:cs="Arial"/>
          <w:color w:val="010000"/>
          <w:sz w:val="20"/>
        </w:rPr>
        <w:t xml:space="preserve"> 2025 do not exceed the following limits:</w:t>
      </w:r>
    </w:p>
    <w:p w14:paraId="49F618BD" w14:textId="77777777" w:rsidR="00E67962" w:rsidRPr="006271BB" w:rsidRDefault="00472AA7" w:rsidP="005338B5">
      <w:pPr>
        <w:numPr>
          <w:ilvl w:val="0"/>
          <w:numId w:val="8"/>
        </w:numPr>
        <w:pBdr>
          <w:top w:val="nil"/>
          <w:left w:val="nil"/>
          <w:bottom w:val="nil"/>
          <w:right w:val="nil"/>
          <w:between w:val="nil"/>
        </w:pBdr>
        <w:tabs>
          <w:tab w:val="left" w:pos="408"/>
        </w:tabs>
        <w:spacing w:after="120" w:line="360" w:lineRule="auto"/>
        <w:jc w:val="both"/>
        <w:rPr>
          <w:rFonts w:ascii="Arial" w:eastAsia="Arial" w:hAnsi="Arial" w:cs="Arial"/>
          <w:color w:val="010000"/>
          <w:sz w:val="20"/>
          <w:szCs w:val="20"/>
        </w:rPr>
      </w:pPr>
      <w:r w:rsidRPr="006271BB">
        <w:rPr>
          <w:rFonts w:ascii="Arial" w:hAnsi="Arial" w:cs="Arial"/>
          <w:color w:val="010000"/>
          <w:sz w:val="20"/>
        </w:rPr>
        <w:lastRenderedPageBreak/>
        <w:t>50% of the total value of assets of the Company recorded in the latest Financial Statements for loan contracts and transactions.</w:t>
      </w:r>
    </w:p>
    <w:p w14:paraId="011FEC25" w14:textId="77777777" w:rsidR="00E67962" w:rsidRPr="006271BB" w:rsidRDefault="00472AA7" w:rsidP="005338B5">
      <w:pPr>
        <w:numPr>
          <w:ilvl w:val="0"/>
          <w:numId w:val="8"/>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6271BB">
        <w:rPr>
          <w:rFonts w:ascii="Arial" w:hAnsi="Arial" w:cs="Arial"/>
          <w:color w:val="010000"/>
          <w:sz w:val="20"/>
        </w:rPr>
        <w:t>50% of the total value of the Company's assets recorded in the most recent Consolidated Financial Statements for the loan contracts and transactions.</w:t>
      </w:r>
    </w:p>
    <w:p w14:paraId="2F1FA639" w14:textId="2D461DBE"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9.3.2 Contracts and security transactions whose transaction value falls under the approval authority of the </w:t>
      </w:r>
      <w:r w:rsidR="005338B5">
        <w:rPr>
          <w:rFonts w:ascii="Arial" w:hAnsi="Arial" w:cs="Arial"/>
          <w:color w:val="010000"/>
          <w:sz w:val="20"/>
        </w:rPr>
        <w:t>General Meeting</w:t>
      </w:r>
      <w:r w:rsidRPr="006271BB">
        <w:rPr>
          <w:rFonts w:ascii="Arial" w:hAnsi="Arial" w:cs="Arial"/>
          <w:color w:val="010000"/>
          <w:sz w:val="20"/>
        </w:rPr>
        <w:t xml:space="preserve"> with the affiliated person:</w:t>
      </w:r>
    </w:p>
    <w:p w14:paraId="6C38B23E" w14:textId="70047521" w:rsidR="00E67962" w:rsidRPr="006271BB" w:rsidRDefault="00472AA7" w:rsidP="005338B5">
      <w:pPr>
        <w:numPr>
          <w:ilvl w:val="0"/>
          <w:numId w:val="8"/>
        </w:numPr>
        <w:pBdr>
          <w:top w:val="nil"/>
          <w:left w:val="nil"/>
          <w:bottom w:val="nil"/>
          <w:right w:val="nil"/>
          <w:between w:val="nil"/>
        </w:pBdr>
        <w:tabs>
          <w:tab w:val="left" w:pos="266"/>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The Company guarantees or uses its assets to mortgage, pledge, or perform other security transactions for the related secured party to ensure full and timely payment of financial obligations of the affiliated persons to the funding party arising from the affiliated person's capital mobilization transactions (credit capital mobilization, bond </w:t>
      </w:r>
      <w:r w:rsidR="005338B5">
        <w:rPr>
          <w:rFonts w:ascii="Arial" w:hAnsi="Arial" w:cs="Arial"/>
          <w:color w:val="010000"/>
          <w:sz w:val="20"/>
        </w:rPr>
        <w:t>issue</w:t>
      </w:r>
      <w:r w:rsidRPr="006271BB">
        <w:rPr>
          <w:rFonts w:ascii="Arial" w:hAnsi="Arial" w:cs="Arial"/>
          <w:color w:val="010000"/>
          <w:sz w:val="20"/>
        </w:rPr>
        <w:t>...).</w:t>
      </w:r>
    </w:p>
    <w:p w14:paraId="561AF70C" w14:textId="1F0AA2BA" w:rsidR="00E67962" w:rsidRPr="006271BB" w:rsidRDefault="00472AA7" w:rsidP="005338B5">
      <w:pPr>
        <w:numPr>
          <w:ilvl w:val="0"/>
          <w:numId w:val="8"/>
        </w:numPr>
        <w:pBdr>
          <w:top w:val="nil"/>
          <w:left w:val="nil"/>
          <w:bottom w:val="nil"/>
          <w:right w:val="nil"/>
          <w:between w:val="nil"/>
        </w:pBdr>
        <w:tabs>
          <w:tab w:val="left" w:pos="266"/>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The affiliated person guarantees the Company or use assets to mortgage, pledge or perform other security transactions for the related secured party to ensure full and timely payment of the Company's financial obligations to the funding party arising from the Company's capital mobilization transactions (credit capital mobilization, bond </w:t>
      </w:r>
      <w:r w:rsidR="005338B5">
        <w:rPr>
          <w:rFonts w:ascii="Arial" w:hAnsi="Arial" w:cs="Arial"/>
          <w:color w:val="010000"/>
          <w:sz w:val="20"/>
        </w:rPr>
        <w:t>issue</w:t>
      </w:r>
      <w:r w:rsidRPr="006271BB">
        <w:rPr>
          <w:rFonts w:ascii="Arial" w:hAnsi="Arial" w:cs="Arial"/>
          <w:color w:val="010000"/>
          <w:sz w:val="20"/>
        </w:rPr>
        <w:t>...).</w:t>
      </w:r>
    </w:p>
    <w:p w14:paraId="63847162" w14:textId="77777777" w:rsidR="00E67962" w:rsidRPr="006271BB" w:rsidRDefault="00472AA7" w:rsidP="005338B5">
      <w:pPr>
        <w:numPr>
          <w:ilvl w:val="0"/>
          <w:numId w:val="1"/>
        </w:numPr>
        <w:pBdr>
          <w:top w:val="nil"/>
          <w:left w:val="nil"/>
          <w:bottom w:val="nil"/>
          <w:right w:val="nil"/>
          <w:between w:val="nil"/>
        </w:pBdr>
        <w:tabs>
          <w:tab w:val="left" w:pos="471"/>
          <w:tab w:val="left" w:pos="9801"/>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Applicable effect: </w:t>
      </w:r>
    </w:p>
    <w:p w14:paraId="6AFE9743" w14:textId="4F59FA7C"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Apply to contracts and transactions arising in the period from the date of the Annual </w:t>
      </w:r>
      <w:r w:rsidR="005338B5">
        <w:rPr>
          <w:rFonts w:ascii="Arial" w:hAnsi="Arial" w:cs="Arial"/>
          <w:color w:val="010000"/>
          <w:sz w:val="20"/>
        </w:rPr>
        <w:t>General Meeting</w:t>
      </w:r>
      <w:r w:rsidRPr="006271BB">
        <w:rPr>
          <w:rFonts w:ascii="Arial" w:hAnsi="Arial" w:cs="Arial"/>
          <w:color w:val="010000"/>
          <w:sz w:val="20"/>
        </w:rPr>
        <w:t xml:space="preserve"> 2024 to before the date of the Annual </w:t>
      </w:r>
      <w:r w:rsidR="005338B5">
        <w:rPr>
          <w:rFonts w:ascii="Arial" w:hAnsi="Arial" w:cs="Arial"/>
          <w:color w:val="010000"/>
          <w:sz w:val="20"/>
        </w:rPr>
        <w:t>General Meeting</w:t>
      </w:r>
      <w:r w:rsidRPr="006271BB">
        <w:rPr>
          <w:rFonts w:ascii="Arial" w:hAnsi="Arial" w:cs="Arial"/>
          <w:color w:val="010000"/>
          <w:sz w:val="20"/>
        </w:rPr>
        <w:t xml:space="preserve"> 2025. </w:t>
      </w:r>
    </w:p>
    <w:p w14:paraId="43FDDD4D" w14:textId="767D4CBA" w:rsidR="00E67962" w:rsidRPr="006271BB" w:rsidRDefault="00472AA7" w:rsidP="005338B5">
      <w:pPr>
        <w:numPr>
          <w:ilvl w:val="0"/>
          <w:numId w:val="1"/>
        </w:numPr>
        <w:pBdr>
          <w:top w:val="nil"/>
          <w:left w:val="nil"/>
          <w:bottom w:val="nil"/>
          <w:right w:val="nil"/>
          <w:between w:val="nil"/>
        </w:pBdr>
        <w:tabs>
          <w:tab w:val="left" w:pos="485"/>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The </w:t>
      </w:r>
      <w:r w:rsidR="005338B5">
        <w:rPr>
          <w:rFonts w:ascii="Arial" w:hAnsi="Arial" w:cs="Arial"/>
          <w:color w:val="010000"/>
          <w:sz w:val="20"/>
        </w:rPr>
        <w:t>General Meeting</w:t>
      </w:r>
      <w:r w:rsidRPr="006271BB">
        <w:rPr>
          <w:rFonts w:ascii="Arial" w:hAnsi="Arial" w:cs="Arial"/>
          <w:color w:val="010000"/>
          <w:sz w:val="20"/>
        </w:rPr>
        <w:t xml:space="preserve"> assigns the </w:t>
      </w:r>
      <w:r w:rsidR="005338B5">
        <w:rPr>
          <w:rFonts w:ascii="Arial" w:hAnsi="Arial" w:cs="Arial"/>
          <w:color w:val="010000"/>
          <w:sz w:val="20"/>
        </w:rPr>
        <w:t xml:space="preserve">Managing Director </w:t>
      </w:r>
      <w:r w:rsidRPr="006271BB">
        <w:rPr>
          <w:rFonts w:ascii="Arial" w:hAnsi="Arial" w:cs="Arial"/>
          <w:color w:val="010000"/>
          <w:sz w:val="20"/>
        </w:rPr>
        <w:t xml:space="preserve">to decide on the detailed contents of each transaction, contract, signing and implementation of specific contracts and transactions mentioned above, complying with the provisions of law, the Charter and internal regulations of the Company and the </w:t>
      </w:r>
      <w:r w:rsidR="005338B5">
        <w:rPr>
          <w:rFonts w:ascii="Arial" w:hAnsi="Arial" w:cs="Arial"/>
          <w:color w:val="010000"/>
          <w:sz w:val="20"/>
        </w:rPr>
        <w:t>Managing Director</w:t>
      </w:r>
      <w:r w:rsidRPr="006271BB">
        <w:rPr>
          <w:rFonts w:ascii="Arial" w:hAnsi="Arial" w:cs="Arial"/>
          <w:color w:val="010000"/>
          <w:sz w:val="20"/>
        </w:rPr>
        <w:t xml:space="preserve"> has the right to assign/authorize subordinates to perform the tasks stated in this section. The </w:t>
      </w:r>
      <w:r w:rsidR="005338B5">
        <w:rPr>
          <w:rFonts w:ascii="Arial" w:hAnsi="Arial" w:cs="Arial"/>
          <w:color w:val="010000"/>
          <w:sz w:val="20"/>
        </w:rPr>
        <w:t xml:space="preserve">Managing Director </w:t>
      </w:r>
      <w:r w:rsidRPr="006271BB">
        <w:rPr>
          <w:rFonts w:ascii="Arial" w:hAnsi="Arial" w:cs="Arial"/>
          <w:color w:val="010000"/>
          <w:sz w:val="20"/>
        </w:rPr>
        <w:t xml:space="preserve">reports the total value of transactions carried out in 2024 to the Board of Directors so that the Board of Directors can report to the Annual </w:t>
      </w:r>
      <w:r w:rsidR="005338B5">
        <w:rPr>
          <w:rFonts w:ascii="Arial" w:hAnsi="Arial" w:cs="Arial"/>
          <w:color w:val="010000"/>
          <w:sz w:val="20"/>
        </w:rPr>
        <w:t>General Meeting</w:t>
      </w:r>
      <w:r w:rsidRPr="006271BB">
        <w:rPr>
          <w:rFonts w:ascii="Arial" w:hAnsi="Arial" w:cs="Arial"/>
          <w:color w:val="010000"/>
          <w:sz w:val="20"/>
        </w:rPr>
        <w:t xml:space="preserve"> 2025.</w:t>
      </w:r>
    </w:p>
    <w:p w14:paraId="7D1FA577"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‎‎Article 10. Approve the amendment and supplement to the Company’s Charter.</w:t>
      </w:r>
    </w:p>
    <w:p w14:paraId="421BC5E9"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Approve the amendment and supplement to the Company’s Charter with specific contents as in Appendix No. 01</w:t>
      </w:r>
    </w:p>
    <w:p w14:paraId="3E8442E7" w14:textId="77777777" w:rsidR="00E67962" w:rsidRPr="006271BB" w:rsidRDefault="00472AA7" w:rsidP="005338B5">
      <w:pPr>
        <w:numPr>
          <w:ilvl w:val="0"/>
          <w:numId w:val="8"/>
        </w:numPr>
        <w:pBdr>
          <w:top w:val="nil"/>
          <w:left w:val="nil"/>
          <w:bottom w:val="nil"/>
          <w:right w:val="nil"/>
          <w:between w:val="nil"/>
        </w:pBdr>
        <w:tabs>
          <w:tab w:val="left" w:pos="266"/>
        </w:tabs>
        <w:spacing w:after="120" w:line="360" w:lineRule="auto"/>
        <w:jc w:val="both"/>
        <w:rPr>
          <w:rFonts w:ascii="Arial" w:eastAsia="Arial" w:hAnsi="Arial" w:cs="Arial"/>
          <w:color w:val="010000"/>
          <w:sz w:val="20"/>
          <w:szCs w:val="20"/>
        </w:rPr>
      </w:pPr>
      <w:r w:rsidRPr="006271BB">
        <w:rPr>
          <w:rFonts w:ascii="Arial" w:hAnsi="Arial" w:cs="Arial"/>
          <w:color w:val="010000"/>
          <w:sz w:val="20"/>
        </w:rPr>
        <w:t>List of main amendments and supplements to the Company's Charter and the full text of the Company’s draft amended and supplemented Charter are attached to this General Mandate.</w:t>
      </w:r>
    </w:p>
    <w:p w14:paraId="730767CA" w14:textId="1DFA6FF1"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The Company's amended and supplemented Charter takes effect from the date of approval by the Annual </w:t>
      </w:r>
      <w:r w:rsidR="005338B5">
        <w:rPr>
          <w:rFonts w:ascii="Arial" w:hAnsi="Arial" w:cs="Arial"/>
          <w:color w:val="010000"/>
          <w:sz w:val="20"/>
        </w:rPr>
        <w:t>General Meeting</w:t>
      </w:r>
      <w:r w:rsidRPr="006271BB">
        <w:rPr>
          <w:rFonts w:ascii="Arial" w:hAnsi="Arial" w:cs="Arial"/>
          <w:color w:val="010000"/>
          <w:sz w:val="20"/>
        </w:rPr>
        <w:t xml:space="preserve"> 2024.</w:t>
      </w:r>
    </w:p>
    <w:p w14:paraId="7E25A258"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‎‎Article 11. Approve amending and supplementing the Internal Regulations on Corporate Governance</w:t>
      </w:r>
      <w:r w:rsidRPr="006271BB">
        <w:rPr>
          <w:rFonts w:ascii="Arial" w:hAnsi="Arial" w:cs="Arial"/>
          <w:color w:val="010000"/>
          <w:sz w:val="20"/>
        </w:rPr>
        <w:br/>
        <w:t>Approve amending and supplementing the Internal Regulations on Corporate Governance with specific contents as in Appendix No. 02 - List of main amendments and supplements to the Internal Regulations on Corporate Governance and the full text of the Company’s draft amended and supplemented Internal Regulations on Corporate Governance are attached to this General Mandate.</w:t>
      </w:r>
    </w:p>
    <w:p w14:paraId="04D214D1" w14:textId="7C15D32C"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The amended and supplemented Internal Regulations on Corporate Governance have been newly </w:t>
      </w:r>
      <w:r w:rsidRPr="006271BB">
        <w:rPr>
          <w:rFonts w:ascii="Arial" w:hAnsi="Arial" w:cs="Arial"/>
          <w:color w:val="010000"/>
          <w:sz w:val="20"/>
        </w:rPr>
        <w:lastRenderedPageBreak/>
        <w:t xml:space="preserve">promulgated and take effect from the date of approval by the Annual </w:t>
      </w:r>
      <w:r w:rsidR="005338B5">
        <w:rPr>
          <w:rFonts w:ascii="Arial" w:hAnsi="Arial" w:cs="Arial"/>
          <w:color w:val="010000"/>
          <w:sz w:val="20"/>
        </w:rPr>
        <w:t>General Meeting</w:t>
      </w:r>
      <w:r w:rsidRPr="006271BB">
        <w:rPr>
          <w:rFonts w:ascii="Arial" w:hAnsi="Arial" w:cs="Arial"/>
          <w:color w:val="010000"/>
          <w:sz w:val="20"/>
        </w:rPr>
        <w:t xml:space="preserve"> 2024.</w:t>
      </w:r>
    </w:p>
    <w:p w14:paraId="0A75395F" w14:textId="26BB6BDC"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‎‎Article 12. Approve amending and supplementing the </w:t>
      </w:r>
      <w:r w:rsidR="00510B39">
        <w:rPr>
          <w:rFonts w:ascii="Arial" w:hAnsi="Arial" w:cs="Arial"/>
          <w:color w:val="010000"/>
          <w:sz w:val="20"/>
        </w:rPr>
        <w:t>Operational Regulations</w:t>
      </w:r>
      <w:r w:rsidRPr="006271BB">
        <w:rPr>
          <w:rFonts w:ascii="Arial" w:hAnsi="Arial" w:cs="Arial"/>
          <w:color w:val="010000"/>
          <w:sz w:val="20"/>
        </w:rPr>
        <w:t xml:space="preserve"> of the Board of Directors </w:t>
      </w:r>
      <w:r w:rsidRPr="006271BB">
        <w:rPr>
          <w:rFonts w:ascii="Arial" w:hAnsi="Arial" w:cs="Arial"/>
          <w:color w:val="010000"/>
          <w:sz w:val="20"/>
        </w:rPr>
        <w:br/>
        <w:t xml:space="preserve">Approve amending and supplementing the </w:t>
      </w:r>
      <w:r w:rsidR="00510B39">
        <w:rPr>
          <w:rFonts w:ascii="Arial" w:hAnsi="Arial" w:cs="Arial"/>
          <w:color w:val="010000"/>
          <w:sz w:val="20"/>
        </w:rPr>
        <w:t>Operational Regulations</w:t>
      </w:r>
      <w:r w:rsidRPr="006271BB">
        <w:rPr>
          <w:rFonts w:ascii="Arial" w:hAnsi="Arial" w:cs="Arial"/>
          <w:color w:val="010000"/>
          <w:sz w:val="20"/>
        </w:rPr>
        <w:t xml:space="preserve"> of the Board of Directors with specific contents as in Appendix No. 02 - List of main amendments and supplements to the Board of Directors' </w:t>
      </w:r>
      <w:r w:rsidR="00510B39">
        <w:rPr>
          <w:rFonts w:ascii="Arial" w:hAnsi="Arial" w:cs="Arial"/>
          <w:color w:val="010000"/>
          <w:sz w:val="20"/>
        </w:rPr>
        <w:t>Operational Regulations</w:t>
      </w:r>
      <w:r w:rsidRPr="006271BB">
        <w:rPr>
          <w:rFonts w:ascii="Arial" w:hAnsi="Arial" w:cs="Arial"/>
          <w:color w:val="010000"/>
          <w:sz w:val="20"/>
        </w:rPr>
        <w:t xml:space="preserve"> and the full text of the draft amended and supplemented </w:t>
      </w:r>
      <w:r w:rsidR="00510B39">
        <w:rPr>
          <w:rFonts w:ascii="Arial" w:hAnsi="Arial" w:cs="Arial"/>
          <w:color w:val="010000"/>
          <w:sz w:val="20"/>
        </w:rPr>
        <w:t>Operational Regulations</w:t>
      </w:r>
      <w:r w:rsidRPr="006271BB">
        <w:rPr>
          <w:rFonts w:ascii="Arial" w:hAnsi="Arial" w:cs="Arial"/>
          <w:color w:val="010000"/>
          <w:sz w:val="20"/>
        </w:rPr>
        <w:t xml:space="preserve"> of the Board of Directors are attached to this General Mandate.</w:t>
      </w:r>
    </w:p>
    <w:p w14:paraId="4E26A1C4" w14:textId="5ED9559D"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The amended and supplemented </w:t>
      </w:r>
      <w:r w:rsidR="00510B39">
        <w:rPr>
          <w:rFonts w:ascii="Arial" w:hAnsi="Arial" w:cs="Arial"/>
          <w:color w:val="010000"/>
          <w:sz w:val="20"/>
        </w:rPr>
        <w:t>Operational Regulations</w:t>
      </w:r>
      <w:r w:rsidRPr="006271BB">
        <w:rPr>
          <w:rFonts w:ascii="Arial" w:hAnsi="Arial" w:cs="Arial"/>
          <w:color w:val="010000"/>
          <w:sz w:val="20"/>
        </w:rPr>
        <w:t xml:space="preserve"> of the Board of Directors are newly promulgated and take effect from the date of approval by the Annual </w:t>
      </w:r>
      <w:r w:rsidR="005338B5">
        <w:rPr>
          <w:rFonts w:ascii="Arial" w:hAnsi="Arial" w:cs="Arial"/>
          <w:color w:val="010000"/>
          <w:sz w:val="20"/>
        </w:rPr>
        <w:t>General Meeting</w:t>
      </w:r>
      <w:r w:rsidRPr="006271BB">
        <w:rPr>
          <w:rFonts w:ascii="Arial" w:hAnsi="Arial" w:cs="Arial"/>
          <w:color w:val="010000"/>
          <w:sz w:val="20"/>
        </w:rPr>
        <w:t xml:space="preserve"> 2024.</w:t>
      </w:r>
    </w:p>
    <w:p w14:paraId="3B18B525" w14:textId="7DCDA91D" w:rsidR="00E67962" w:rsidRPr="006271BB" w:rsidRDefault="00571206"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 xml:space="preserve">‎‎Article 13. Approve </w:t>
      </w:r>
      <w:r w:rsidR="00472AA7" w:rsidRPr="006271BB">
        <w:rPr>
          <w:rFonts w:ascii="Arial" w:hAnsi="Arial" w:cs="Arial"/>
          <w:color w:val="010000"/>
          <w:sz w:val="20"/>
        </w:rPr>
        <w:t>amendment</w:t>
      </w:r>
      <w:r>
        <w:rPr>
          <w:rFonts w:ascii="Arial" w:hAnsi="Arial" w:cs="Arial"/>
          <w:color w:val="010000"/>
          <w:sz w:val="20"/>
        </w:rPr>
        <w:t>s</w:t>
      </w:r>
      <w:r w:rsidR="005338B5">
        <w:rPr>
          <w:rFonts w:ascii="Arial" w:hAnsi="Arial" w:cs="Arial"/>
          <w:color w:val="010000"/>
          <w:sz w:val="20"/>
        </w:rPr>
        <w:t xml:space="preserve"> and supplement</w:t>
      </w:r>
      <w:r>
        <w:rPr>
          <w:rFonts w:ascii="Arial" w:hAnsi="Arial" w:cs="Arial"/>
          <w:color w:val="010000"/>
          <w:sz w:val="20"/>
        </w:rPr>
        <w:t>s</w:t>
      </w:r>
      <w:r w:rsidR="005338B5">
        <w:rPr>
          <w:rFonts w:ascii="Arial" w:hAnsi="Arial" w:cs="Arial"/>
          <w:color w:val="010000"/>
          <w:sz w:val="20"/>
        </w:rPr>
        <w:t xml:space="preserve"> to the Operational</w:t>
      </w:r>
      <w:r w:rsidR="00472AA7" w:rsidRPr="006271BB">
        <w:rPr>
          <w:rFonts w:ascii="Arial" w:hAnsi="Arial" w:cs="Arial"/>
          <w:color w:val="010000"/>
          <w:sz w:val="20"/>
        </w:rPr>
        <w:t xml:space="preserve"> Regulations of the Supervisory Board</w:t>
      </w:r>
    </w:p>
    <w:p w14:paraId="3DEA1738" w14:textId="370FFBB5"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Approve amending and supplementing the </w:t>
      </w:r>
      <w:r w:rsidR="00510B39">
        <w:rPr>
          <w:rFonts w:ascii="Arial" w:hAnsi="Arial" w:cs="Arial"/>
          <w:color w:val="010000"/>
          <w:sz w:val="20"/>
        </w:rPr>
        <w:t>Operational Regulations</w:t>
      </w:r>
      <w:r w:rsidRPr="006271BB">
        <w:rPr>
          <w:rFonts w:ascii="Arial" w:hAnsi="Arial" w:cs="Arial"/>
          <w:color w:val="010000"/>
          <w:sz w:val="20"/>
        </w:rPr>
        <w:t xml:space="preserve"> of the Board of Directors with specific contents as in Appendix No. 04 - List of main amendments and supplements to the </w:t>
      </w:r>
      <w:r w:rsidR="00510B39">
        <w:rPr>
          <w:rFonts w:ascii="Arial" w:hAnsi="Arial" w:cs="Arial"/>
          <w:color w:val="010000"/>
          <w:sz w:val="20"/>
        </w:rPr>
        <w:t>Operational Regulations</w:t>
      </w:r>
      <w:r w:rsidRPr="006271BB">
        <w:rPr>
          <w:rFonts w:ascii="Arial" w:hAnsi="Arial" w:cs="Arial"/>
          <w:color w:val="010000"/>
          <w:sz w:val="20"/>
        </w:rPr>
        <w:t xml:space="preserve"> of the Supervisory Board and the full text of the draft amended and supplemented </w:t>
      </w:r>
      <w:r w:rsidR="00510B39">
        <w:rPr>
          <w:rFonts w:ascii="Arial" w:hAnsi="Arial" w:cs="Arial"/>
          <w:color w:val="010000"/>
          <w:sz w:val="20"/>
        </w:rPr>
        <w:t>Operational Regulations</w:t>
      </w:r>
      <w:r w:rsidRPr="006271BB">
        <w:rPr>
          <w:rFonts w:ascii="Arial" w:hAnsi="Arial" w:cs="Arial"/>
          <w:color w:val="010000"/>
          <w:sz w:val="20"/>
        </w:rPr>
        <w:t xml:space="preserve"> of the Supervisory Board attached to this General Mandate.</w:t>
      </w:r>
    </w:p>
    <w:p w14:paraId="5889A3D2" w14:textId="351839C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The amended and supplemented </w:t>
      </w:r>
      <w:r w:rsidR="00510B39">
        <w:rPr>
          <w:rFonts w:ascii="Arial" w:hAnsi="Arial" w:cs="Arial"/>
          <w:color w:val="010000"/>
          <w:sz w:val="20"/>
        </w:rPr>
        <w:t>Operational Regulations</w:t>
      </w:r>
      <w:r w:rsidRPr="006271BB">
        <w:rPr>
          <w:rFonts w:ascii="Arial" w:hAnsi="Arial" w:cs="Arial"/>
          <w:color w:val="010000"/>
          <w:sz w:val="20"/>
        </w:rPr>
        <w:t xml:space="preserve"> of the Supervisory Board are newly promulgated and take effect from the date of approval by the Annual </w:t>
      </w:r>
      <w:r w:rsidR="005338B5">
        <w:rPr>
          <w:rFonts w:ascii="Arial" w:hAnsi="Arial" w:cs="Arial"/>
          <w:color w:val="010000"/>
          <w:sz w:val="20"/>
        </w:rPr>
        <w:t>General Meeting</w:t>
      </w:r>
      <w:r w:rsidRPr="006271BB">
        <w:rPr>
          <w:rFonts w:ascii="Arial" w:hAnsi="Arial" w:cs="Arial"/>
          <w:color w:val="010000"/>
          <w:sz w:val="20"/>
        </w:rPr>
        <w:t xml:space="preserve"> 2024.</w:t>
      </w:r>
    </w:p>
    <w:p w14:paraId="335E9F62" w14:textId="77777777" w:rsidR="00E67962" w:rsidRPr="006271BB" w:rsidRDefault="00472AA7" w:rsidP="005338B5">
      <w:pPr>
        <w:pBdr>
          <w:top w:val="nil"/>
          <w:left w:val="nil"/>
          <w:bottom w:val="nil"/>
          <w:right w:val="nil"/>
          <w:between w:val="nil"/>
        </w:pBdr>
        <w:tabs>
          <w:tab w:val="left" w:pos="9806"/>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‎‎Article 14. Approve the resignation of Mr. Nguyen </w:t>
      </w:r>
      <w:proofErr w:type="spellStart"/>
      <w:r w:rsidRPr="006271BB">
        <w:rPr>
          <w:rFonts w:ascii="Arial" w:hAnsi="Arial" w:cs="Arial"/>
          <w:color w:val="010000"/>
          <w:sz w:val="20"/>
        </w:rPr>
        <w:t>Trong</w:t>
      </w:r>
      <w:proofErr w:type="spellEnd"/>
      <w:r w:rsidRPr="006271BB">
        <w:rPr>
          <w:rFonts w:ascii="Arial" w:hAnsi="Arial" w:cs="Arial"/>
          <w:color w:val="010000"/>
          <w:sz w:val="20"/>
        </w:rPr>
        <w:t xml:space="preserve"> </w:t>
      </w:r>
      <w:proofErr w:type="spellStart"/>
      <w:r w:rsidRPr="006271BB">
        <w:rPr>
          <w:rFonts w:ascii="Arial" w:hAnsi="Arial" w:cs="Arial"/>
          <w:color w:val="010000"/>
          <w:sz w:val="20"/>
        </w:rPr>
        <w:t>Trung</w:t>
      </w:r>
      <w:proofErr w:type="spellEnd"/>
      <w:r w:rsidRPr="006271BB">
        <w:rPr>
          <w:rFonts w:ascii="Arial" w:hAnsi="Arial" w:cs="Arial"/>
          <w:color w:val="010000"/>
          <w:sz w:val="20"/>
        </w:rPr>
        <w:t xml:space="preserve"> to stop participating in the Board of Directors of the Company for the 2020 - 2025 term from March 27, 2024. </w:t>
      </w:r>
    </w:p>
    <w:p w14:paraId="50154240"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Article 15. Approve the election of 01 additional independent member of the Board of Directors for the remaining period of the 2020 - 2025 term on the basis of the list of validly nominated candidates to ensure the number of Board of Directors members according to regulations and the additional election result (01) of independent member of the Company's Board of Directors for the remaining period of the 2020 - 2025 term is:</w:t>
      </w:r>
    </w:p>
    <w:p w14:paraId="5A9B6E4F" w14:textId="77777777" w:rsidR="00E67962" w:rsidRPr="006271BB" w:rsidRDefault="00472AA7" w:rsidP="005338B5">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Mr. Nguyen Duc </w:t>
      </w:r>
      <w:proofErr w:type="spellStart"/>
      <w:r w:rsidRPr="006271BB">
        <w:rPr>
          <w:rFonts w:ascii="Arial" w:hAnsi="Arial" w:cs="Arial"/>
          <w:color w:val="010000"/>
          <w:sz w:val="20"/>
        </w:rPr>
        <w:t>Luyen</w:t>
      </w:r>
      <w:proofErr w:type="spellEnd"/>
    </w:p>
    <w:p w14:paraId="17E3BD78"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Term of additional elected independent members of the Board of Directors: from the date of additional election (date of this General Mandate) until the 2020 - 2025 term of the Board of Directors of the Company ends.</w:t>
      </w:r>
    </w:p>
    <w:p w14:paraId="16E8663C"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The list of members of the Board of Directors for the 2020 - 2025 term of </w:t>
      </w:r>
      <w:proofErr w:type="spellStart"/>
      <w:r w:rsidRPr="006271BB">
        <w:rPr>
          <w:rFonts w:ascii="Arial" w:hAnsi="Arial" w:cs="Arial"/>
          <w:color w:val="010000"/>
          <w:sz w:val="20"/>
        </w:rPr>
        <w:t>Gelex</w:t>
      </w:r>
      <w:proofErr w:type="spellEnd"/>
      <w:r w:rsidRPr="006271BB">
        <w:rPr>
          <w:rFonts w:ascii="Arial" w:hAnsi="Arial" w:cs="Arial"/>
          <w:color w:val="010000"/>
          <w:sz w:val="20"/>
        </w:rPr>
        <w:t xml:space="preserve"> Electricity Joint Stock Company includes the following members:</w:t>
      </w:r>
    </w:p>
    <w:p w14:paraId="6CA6C3C4" w14:textId="77777777" w:rsidR="00E67962" w:rsidRPr="006271BB" w:rsidRDefault="00472AA7" w:rsidP="005338B5">
      <w:pPr>
        <w:numPr>
          <w:ilvl w:val="0"/>
          <w:numId w:val="2"/>
        </w:numPr>
        <w:pBdr>
          <w:top w:val="nil"/>
          <w:left w:val="nil"/>
          <w:bottom w:val="nil"/>
          <w:right w:val="nil"/>
          <w:between w:val="nil"/>
        </w:pBdr>
        <w:tabs>
          <w:tab w:val="left" w:pos="1021"/>
        </w:tabs>
        <w:spacing w:after="120" w:line="360" w:lineRule="auto"/>
        <w:jc w:val="both"/>
        <w:rPr>
          <w:rFonts w:ascii="Arial" w:eastAsia="Arial" w:hAnsi="Arial" w:cs="Arial"/>
          <w:color w:val="010000"/>
          <w:sz w:val="20"/>
          <w:szCs w:val="20"/>
        </w:rPr>
      </w:pPr>
      <w:r w:rsidRPr="006271BB">
        <w:rPr>
          <w:rFonts w:ascii="Arial" w:hAnsi="Arial" w:cs="Arial"/>
          <w:color w:val="010000"/>
          <w:sz w:val="20"/>
        </w:rPr>
        <w:t>Mr. Nguyen Van Tuan;</w:t>
      </w:r>
    </w:p>
    <w:p w14:paraId="54B12A57" w14:textId="77777777" w:rsidR="00E67962" w:rsidRPr="006271BB" w:rsidRDefault="00472AA7" w:rsidP="005338B5">
      <w:pPr>
        <w:numPr>
          <w:ilvl w:val="0"/>
          <w:numId w:val="2"/>
        </w:numPr>
        <w:pBdr>
          <w:top w:val="nil"/>
          <w:left w:val="nil"/>
          <w:bottom w:val="nil"/>
          <w:right w:val="nil"/>
          <w:between w:val="nil"/>
        </w:pBdr>
        <w:tabs>
          <w:tab w:val="left" w:pos="1028"/>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Mr. Dang Phan </w:t>
      </w:r>
      <w:proofErr w:type="spellStart"/>
      <w:r w:rsidRPr="006271BB">
        <w:rPr>
          <w:rFonts w:ascii="Arial" w:hAnsi="Arial" w:cs="Arial"/>
          <w:color w:val="010000"/>
          <w:sz w:val="20"/>
        </w:rPr>
        <w:t>Tuong</w:t>
      </w:r>
      <w:proofErr w:type="spellEnd"/>
      <w:r w:rsidRPr="006271BB">
        <w:rPr>
          <w:rFonts w:ascii="Arial" w:hAnsi="Arial" w:cs="Arial"/>
          <w:color w:val="010000"/>
          <w:sz w:val="20"/>
        </w:rPr>
        <w:t>;</w:t>
      </w:r>
    </w:p>
    <w:p w14:paraId="2BB23A6D" w14:textId="77777777" w:rsidR="00E67962" w:rsidRPr="006271BB" w:rsidRDefault="00472AA7" w:rsidP="005338B5">
      <w:pPr>
        <w:numPr>
          <w:ilvl w:val="0"/>
          <w:numId w:val="2"/>
        </w:numPr>
        <w:pBdr>
          <w:top w:val="nil"/>
          <w:left w:val="nil"/>
          <w:bottom w:val="nil"/>
          <w:right w:val="nil"/>
          <w:between w:val="nil"/>
        </w:pBdr>
        <w:tabs>
          <w:tab w:val="left" w:pos="1028"/>
        </w:tabs>
        <w:spacing w:after="120" w:line="360" w:lineRule="auto"/>
        <w:jc w:val="both"/>
        <w:rPr>
          <w:rFonts w:ascii="Arial" w:eastAsia="Arial" w:hAnsi="Arial" w:cs="Arial"/>
          <w:color w:val="010000"/>
          <w:sz w:val="20"/>
          <w:szCs w:val="20"/>
        </w:rPr>
      </w:pPr>
      <w:r w:rsidRPr="006271BB">
        <w:rPr>
          <w:rFonts w:ascii="Arial" w:hAnsi="Arial" w:cs="Arial"/>
          <w:color w:val="010000"/>
          <w:sz w:val="20"/>
        </w:rPr>
        <w:t>Mr. Do Duy Hung;</w:t>
      </w:r>
    </w:p>
    <w:p w14:paraId="6F7833DF" w14:textId="77777777" w:rsidR="00E67962" w:rsidRPr="006271BB" w:rsidRDefault="00472AA7" w:rsidP="005338B5">
      <w:pPr>
        <w:numPr>
          <w:ilvl w:val="0"/>
          <w:numId w:val="2"/>
        </w:numPr>
        <w:pBdr>
          <w:top w:val="nil"/>
          <w:left w:val="nil"/>
          <w:bottom w:val="nil"/>
          <w:right w:val="nil"/>
          <w:between w:val="nil"/>
        </w:pBdr>
        <w:tabs>
          <w:tab w:val="left" w:pos="1035"/>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Mr. Le Ba </w:t>
      </w:r>
      <w:proofErr w:type="spellStart"/>
      <w:r w:rsidRPr="006271BB">
        <w:rPr>
          <w:rFonts w:ascii="Arial" w:hAnsi="Arial" w:cs="Arial"/>
          <w:color w:val="010000"/>
          <w:sz w:val="20"/>
        </w:rPr>
        <w:t>Tho</w:t>
      </w:r>
      <w:proofErr w:type="spellEnd"/>
      <w:r w:rsidRPr="006271BB">
        <w:rPr>
          <w:rFonts w:ascii="Arial" w:hAnsi="Arial" w:cs="Arial"/>
          <w:color w:val="010000"/>
          <w:sz w:val="20"/>
        </w:rPr>
        <w:t>;</w:t>
      </w:r>
    </w:p>
    <w:p w14:paraId="716AEEC4" w14:textId="77777777" w:rsidR="00E67962" w:rsidRPr="006271BB" w:rsidRDefault="00472AA7" w:rsidP="005338B5">
      <w:pPr>
        <w:numPr>
          <w:ilvl w:val="0"/>
          <w:numId w:val="2"/>
        </w:numPr>
        <w:pBdr>
          <w:top w:val="nil"/>
          <w:left w:val="nil"/>
          <w:bottom w:val="nil"/>
          <w:right w:val="nil"/>
          <w:between w:val="nil"/>
        </w:pBdr>
        <w:tabs>
          <w:tab w:val="left" w:pos="1035"/>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Mr. Nguyen Duc </w:t>
      </w:r>
      <w:proofErr w:type="spellStart"/>
      <w:r w:rsidRPr="006271BB">
        <w:rPr>
          <w:rFonts w:ascii="Arial" w:hAnsi="Arial" w:cs="Arial"/>
          <w:color w:val="010000"/>
          <w:sz w:val="20"/>
        </w:rPr>
        <w:t>Luyen</w:t>
      </w:r>
      <w:proofErr w:type="spellEnd"/>
      <w:r w:rsidRPr="006271BB">
        <w:rPr>
          <w:rFonts w:ascii="Arial" w:hAnsi="Arial" w:cs="Arial"/>
          <w:color w:val="010000"/>
          <w:sz w:val="20"/>
        </w:rPr>
        <w:t>.</w:t>
      </w:r>
    </w:p>
    <w:p w14:paraId="2E56BFAD" w14:textId="77777777"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‎‎Article 16. Approve the continued registration of listing the Company's shares at the Ho Chi Minh City </w:t>
      </w:r>
      <w:r w:rsidRPr="006271BB">
        <w:rPr>
          <w:rFonts w:ascii="Arial" w:hAnsi="Arial" w:cs="Arial"/>
          <w:color w:val="010000"/>
          <w:sz w:val="20"/>
        </w:rPr>
        <w:lastRenderedPageBreak/>
        <w:t xml:space="preserve">Stock Exchange ("HOSE") according to the approved contents in Article 15 of General Mandate No. 01/NQ-DHDCD on April 19, 2023. </w:t>
      </w:r>
    </w:p>
    <w:p w14:paraId="51042E08" w14:textId="77777777" w:rsidR="00E67962" w:rsidRPr="006271BB" w:rsidRDefault="00472AA7" w:rsidP="005338B5">
      <w:pPr>
        <w:numPr>
          <w:ilvl w:val="0"/>
          <w:numId w:val="3"/>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Approve the cancellation of share trading on the UPCOM of the Hanoi Stock Exchange (“HNX”) and registration of share listing at the Ho Chi Minh City Stock Exchange (“HOSE”) for all number of shares of </w:t>
      </w:r>
      <w:proofErr w:type="spellStart"/>
      <w:r w:rsidRPr="006271BB">
        <w:rPr>
          <w:rFonts w:ascii="Arial" w:hAnsi="Arial" w:cs="Arial"/>
          <w:color w:val="010000"/>
          <w:sz w:val="20"/>
        </w:rPr>
        <w:t>Gelex</w:t>
      </w:r>
      <w:proofErr w:type="spellEnd"/>
      <w:r w:rsidRPr="006271BB">
        <w:rPr>
          <w:rFonts w:ascii="Arial" w:hAnsi="Arial" w:cs="Arial"/>
          <w:color w:val="010000"/>
          <w:sz w:val="20"/>
        </w:rPr>
        <w:t xml:space="preserve"> Electricity Joint Stock Company.</w:t>
      </w:r>
    </w:p>
    <w:p w14:paraId="2866CF1C" w14:textId="77777777" w:rsidR="00E67962" w:rsidRPr="006271BB" w:rsidRDefault="00472AA7" w:rsidP="005338B5">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Share name: Shares of </w:t>
      </w:r>
      <w:proofErr w:type="spellStart"/>
      <w:r w:rsidRPr="006271BB">
        <w:rPr>
          <w:rFonts w:ascii="Arial" w:hAnsi="Arial" w:cs="Arial"/>
          <w:color w:val="010000"/>
          <w:sz w:val="20"/>
        </w:rPr>
        <w:t>Gelex</w:t>
      </w:r>
      <w:proofErr w:type="spellEnd"/>
      <w:r w:rsidRPr="006271BB">
        <w:rPr>
          <w:rFonts w:ascii="Arial" w:hAnsi="Arial" w:cs="Arial"/>
          <w:color w:val="010000"/>
          <w:sz w:val="20"/>
        </w:rPr>
        <w:t xml:space="preserve"> Electricity Joint Stock Company;</w:t>
      </w:r>
    </w:p>
    <w:p w14:paraId="0B2435B9" w14:textId="77777777" w:rsidR="00E67962" w:rsidRPr="006271BB" w:rsidRDefault="00472AA7" w:rsidP="005338B5">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1BB">
        <w:rPr>
          <w:rFonts w:ascii="Arial" w:hAnsi="Arial" w:cs="Arial"/>
          <w:color w:val="010000"/>
          <w:sz w:val="20"/>
        </w:rPr>
        <w:t>Securities code: GEE; Par value: VND 10,000;</w:t>
      </w:r>
    </w:p>
    <w:p w14:paraId="072DB7CD" w14:textId="77777777" w:rsidR="00E67962" w:rsidRPr="006271BB" w:rsidRDefault="00472AA7" w:rsidP="005338B5">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1BB">
        <w:rPr>
          <w:rFonts w:ascii="Arial" w:hAnsi="Arial" w:cs="Arial"/>
          <w:color w:val="010000"/>
          <w:sz w:val="20"/>
        </w:rPr>
        <w:t>Share type: common share;</w:t>
      </w:r>
    </w:p>
    <w:p w14:paraId="7FF0F2C9" w14:textId="4D9E948C" w:rsidR="00E67962" w:rsidRPr="006271BB" w:rsidRDefault="00472AA7" w:rsidP="005338B5">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Number of shares registered for the trading cancellation at UPCOM: All outstanding shares and shares registered </w:t>
      </w:r>
      <w:r w:rsidR="00510B39">
        <w:rPr>
          <w:rFonts w:ascii="Arial" w:hAnsi="Arial" w:cs="Arial"/>
          <w:color w:val="010000"/>
          <w:sz w:val="20"/>
        </w:rPr>
        <w:t>for trading on UPCOM at the date</w:t>
      </w:r>
      <w:r w:rsidRPr="006271BB">
        <w:rPr>
          <w:rFonts w:ascii="Arial" w:hAnsi="Arial" w:cs="Arial"/>
          <w:color w:val="010000"/>
          <w:sz w:val="20"/>
        </w:rPr>
        <w:t xml:space="preserve"> of cancellation;</w:t>
      </w:r>
    </w:p>
    <w:p w14:paraId="599EF584" w14:textId="77777777" w:rsidR="00E67962" w:rsidRPr="006271BB" w:rsidRDefault="00472AA7" w:rsidP="005338B5">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271BB">
        <w:rPr>
          <w:rFonts w:ascii="Arial" w:hAnsi="Arial" w:cs="Arial"/>
          <w:color w:val="010000"/>
          <w:sz w:val="20"/>
        </w:rPr>
        <w:t>Number of shares registered to list on HOSE: All issued shares of the Company at the time of listing.</w:t>
      </w:r>
    </w:p>
    <w:p w14:paraId="423DA364" w14:textId="77777777" w:rsidR="00E67962" w:rsidRPr="006271BB" w:rsidRDefault="00472AA7" w:rsidP="005338B5">
      <w:pPr>
        <w:numPr>
          <w:ilvl w:val="0"/>
          <w:numId w:val="3"/>
        </w:numPr>
        <w:pBdr>
          <w:top w:val="nil"/>
          <w:left w:val="nil"/>
          <w:bottom w:val="nil"/>
          <w:right w:val="nil"/>
          <w:between w:val="nil"/>
        </w:pBdr>
        <w:tabs>
          <w:tab w:val="left" w:pos="348"/>
        </w:tabs>
        <w:spacing w:after="120" w:line="360" w:lineRule="auto"/>
        <w:jc w:val="both"/>
        <w:rPr>
          <w:rFonts w:ascii="Arial" w:eastAsia="Arial" w:hAnsi="Arial" w:cs="Arial"/>
          <w:color w:val="010000"/>
          <w:sz w:val="20"/>
          <w:szCs w:val="20"/>
        </w:rPr>
      </w:pPr>
      <w:r w:rsidRPr="006271BB">
        <w:rPr>
          <w:rFonts w:ascii="Arial" w:hAnsi="Arial" w:cs="Arial"/>
          <w:color w:val="010000"/>
          <w:sz w:val="20"/>
        </w:rPr>
        <w:t>Approve authorizing the Board of Directors of the Company to decide and organize the implementation of all related work and procedures to complete the listing of all shares of the Company on HOSE, including but not limited to:</w:t>
      </w:r>
    </w:p>
    <w:p w14:paraId="51B21662" w14:textId="77777777" w:rsidR="00E67962" w:rsidRPr="006271BB" w:rsidRDefault="00472AA7" w:rsidP="005338B5">
      <w:pPr>
        <w:numPr>
          <w:ilvl w:val="0"/>
          <w:numId w:val="5"/>
        </w:numPr>
        <w:pBdr>
          <w:top w:val="nil"/>
          <w:left w:val="nil"/>
          <w:bottom w:val="nil"/>
          <w:right w:val="nil"/>
          <w:between w:val="nil"/>
        </w:pBdr>
        <w:tabs>
          <w:tab w:val="left" w:pos="337"/>
        </w:tabs>
        <w:spacing w:after="120" w:line="360" w:lineRule="auto"/>
        <w:jc w:val="both"/>
        <w:rPr>
          <w:rFonts w:ascii="Arial" w:eastAsia="Arial" w:hAnsi="Arial" w:cs="Arial"/>
          <w:color w:val="010000"/>
          <w:sz w:val="20"/>
          <w:szCs w:val="20"/>
        </w:rPr>
      </w:pPr>
      <w:r w:rsidRPr="006271BB">
        <w:rPr>
          <w:rFonts w:ascii="Arial" w:hAnsi="Arial" w:cs="Arial"/>
          <w:color w:val="010000"/>
          <w:sz w:val="20"/>
        </w:rPr>
        <w:t>Cancel the registration of share trading on UPCOM for the all shares issued at the time of listing registration;</w:t>
      </w:r>
    </w:p>
    <w:p w14:paraId="38118C63" w14:textId="77777777" w:rsidR="00E67962" w:rsidRPr="006271BB" w:rsidRDefault="00472AA7" w:rsidP="005338B5">
      <w:pPr>
        <w:numPr>
          <w:ilvl w:val="0"/>
          <w:numId w:val="5"/>
        </w:numPr>
        <w:tabs>
          <w:tab w:val="left" w:pos="348"/>
          <w:tab w:val="left" w:pos="9766"/>
        </w:tabs>
        <w:spacing w:after="120" w:line="360" w:lineRule="auto"/>
        <w:jc w:val="both"/>
        <w:rPr>
          <w:rFonts w:ascii="Arial" w:hAnsi="Arial" w:cs="Arial"/>
          <w:color w:val="010000"/>
          <w:sz w:val="20"/>
        </w:rPr>
      </w:pPr>
      <w:r w:rsidRPr="006271BB">
        <w:rPr>
          <w:rFonts w:ascii="Arial" w:hAnsi="Arial" w:cs="Arial"/>
          <w:color w:val="010000"/>
          <w:sz w:val="20"/>
        </w:rPr>
        <w:t>Organize the preparation and approve listing registration dossiers for all shares issued at the time of listing registration at HOSE;</w:t>
      </w:r>
    </w:p>
    <w:p w14:paraId="14438331" w14:textId="77777777" w:rsidR="00E67962" w:rsidRPr="006271BB" w:rsidRDefault="00472AA7" w:rsidP="005338B5">
      <w:pPr>
        <w:numPr>
          <w:ilvl w:val="0"/>
          <w:numId w:val="5"/>
        </w:numPr>
        <w:tabs>
          <w:tab w:val="left" w:pos="348"/>
          <w:tab w:val="left" w:pos="9766"/>
        </w:tabs>
        <w:spacing w:after="120" w:line="360" w:lineRule="auto"/>
        <w:jc w:val="both"/>
        <w:rPr>
          <w:rFonts w:ascii="Arial" w:hAnsi="Arial" w:cs="Arial"/>
          <w:color w:val="010000"/>
          <w:sz w:val="20"/>
        </w:rPr>
      </w:pPr>
      <w:r w:rsidRPr="006271BB">
        <w:rPr>
          <w:rFonts w:ascii="Arial" w:hAnsi="Arial" w:cs="Arial"/>
          <w:color w:val="010000"/>
          <w:sz w:val="20"/>
        </w:rPr>
        <w:t xml:space="preserve">Decide to select a consulting unit for securities listing; </w:t>
      </w:r>
    </w:p>
    <w:p w14:paraId="7D0C9E60" w14:textId="77777777" w:rsidR="00E67962" w:rsidRPr="006271BB" w:rsidRDefault="00472AA7" w:rsidP="005338B5">
      <w:pPr>
        <w:numPr>
          <w:ilvl w:val="0"/>
          <w:numId w:val="5"/>
        </w:numPr>
        <w:pBdr>
          <w:top w:val="nil"/>
          <w:left w:val="nil"/>
          <w:bottom w:val="nil"/>
          <w:right w:val="nil"/>
          <w:between w:val="nil"/>
        </w:pBdr>
        <w:tabs>
          <w:tab w:val="left" w:pos="348"/>
        </w:tabs>
        <w:spacing w:after="120" w:line="360" w:lineRule="auto"/>
        <w:jc w:val="both"/>
        <w:rPr>
          <w:rFonts w:ascii="Arial" w:eastAsia="Arial" w:hAnsi="Arial" w:cs="Arial"/>
          <w:color w:val="010000"/>
          <w:sz w:val="20"/>
          <w:szCs w:val="20"/>
        </w:rPr>
      </w:pPr>
      <w:r w:rsidRPr="006271BB">
        <w:rPr>
          <w:rFonts w:ascii="Arial" w:hAnsi="Arial" w:cs="Arial"/>
          <w:color w:val="010000"/>
          <w:sz w:val="20"/>
        </w:rPr>
        <w:t>Sign documents and dossiers; register/apply for approval at the competent authority and perform other related tasks.</w:t>
      </w:r>
    </w:p>
    <w:p w14:paraId="6824D630" w14:textId="6B820A47" w:rsidR="00E67962" w:rsidRPr="006271BB" w:rsidRDefault="00472AA7" w:rsidP="005338B5">
      <w:pPr>
        <w:numPr>
          <w:ilvl w:val="0"/>
          <w:numId w:val="6"/>
        </w:numPr>
        <w:pBdr>
          <w:top w:val="nil"/>
          <w:left w:val="nil"/>
          <w:bottom w:val="nil"/>
          <w:right w:val="nil"/>
          <w:between w:val="nil"/>
        </w:pBdr>
        <w:tabs>
          <w:tab w:val="left" w:pos="1046"/>
        </w:tabs>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Depending on each specific case, the Board of Directors may authorize the Chair of the Board of Directors or the Company's </w:t>
      </w:r>
      <w:r w:rsidR="005338B5">
        <w:rPr>
          <w:rFonts w:ascii="Arial" w:hAnsi="Arial" w:cs="Arial"/>
          <w:color w:val="010000"/>
          <w:sz w:val="20"/>
        </w:rPr>
        <w:t xml:space="preserve">Managing Director </w:t>
      </w:r>
      <w:r w:rsidRPr="006271BB">
        <w:rPr>
          <w:rFonts w:ascii="Arial" w:hAnsi="Arial" w:cs="Arial"/>
          <w:color w:val="010000"/>
          <w:sz w:val="20"/>
        </w:rPr>
        <w:t>to perform one or more of the specific tasks mentioned above.</w:t>
      </w:r>
    </w:p>
    <w:p w14:paraId="6839DF74" w14:textId="77777777" w:rsidR="00E67962" w:rsidRPr="006271BB" w:rsidRDefault="00472AA7" w:rsidP="005338B5">
      <w:pPr>
        <w:numPr>
          <w:ilvl w:val="0"/>
          <w:numId w:val="6"/>
        </w:numPr>
        <w:pBdr>
          <w:top w:val="nil"/>
          <w:left w:val="nil"/>
          <w:bottom w:val="nil"/>
          <w:right w:val="nil"/>
          <w:between w:val="nil"/>
        </w:pBdr>
        <w:tabs>
          <w:tab w:val="left" w:pos="1046"/>
        </w:tabs>
        <w:spacing w:after="120" w:line="360" w:lineRule="auto"/>
        <w:jc w:val="both"/>
        <w:rPr>
          <w:rFonts w:ascii="Arial" w:eastAsia="Arial" w:hAnsi="Arial" w:cs="Arial"/>
          <w:color w:val="010000"/>
          <w:sz w:val="20"/>
          <w:szCs w:val="20"/>
        </w:rPr>
      </w:pPr>
      <w:r w:rsidRPr="006271BB">
        <w:rPr>
          <w:rFonts w:ascii="Arial" w:hAnsi="Arial" w:cs="Arial"/>
          <w:color w:val="010000"/>
          <w:sz w:val="20"/>
        </w:rPr>
        <w:t>Implementation time: In 2024, the Company's Board of Directors proactively chooses a time suitable to the stock market situation and actual conditions to complete the above procedures.</w:t>
      </w:r>
    </w:p>
    <w:p w14:paraId="0F3E5430" w14:textId="55DDBD36" w:rsidR="00E67962" w:rsidRDefault="00472AA7" w:rsidP="005338B5">
      <w:pPr>
        <w:pBdr>
          <w:top w:val="nil"/>
          <w:left w:val="nil"/>
          <w:bottom w:val="nil"/>
          <w:right w:val="nil"/>
          <w:between w:val="nil"/>
        </w:pBdr>
        <w:spacing w:after="120" w:line="360" w:lineRule="auto"/>
        <w:jc w:val="both"/>
        <w:rPr>
          <w:rFonts w:ascii="Arial" w:hAnsi="Arial" w:cs="Arial"/>
          <w:color w:val="010000"/>
          <w:sz w:val="20"/>
        </w:rPr>
      </w:pPr>
      <w:r w:rsidRPr="006271BB">
        <w:rPr>
          <w:rFonts w:ascii="Arial" w:hAnsi="Arial" w:cs="Arial"/>
          <w:color w:val="010000"/>
          <w:sz w:val="20"/>
        </w:rPr>
        <w:t>‎‎Article 17.</w:t>
      </w:r>
      <w:r w:rsidR="00510B39">
        <w:rPr>
          <w:rFonts w:ascii="Arial" w:hAnsi="Arial" w:cs="Arial"/>
          <w:color w:val="010000"/>
          <w:sz w:val="20"/>
        </w:rPr>
        <w:t xml:space="preserve"> Approve the share issue</w:t>
      </w:r>
      <w:r w:rsidRPr="006271BB">
        <w:rPr>
          <w:rFonts w:ascii="Arial" w:hAnsi="Arial" w:cs="Arial"/>
          <w:color w:val="010000"/>
          <w:sz w:val="20"/>
        </w:rPr>
        <w:t xml:space="preserve"> under the Employee Stock Ownership Plan in 2024 </w:t>
      </w:r>
    </w:p>
    <w:p w14:paraId="554D6B7D" w14:textId="7F8E333B" w:rsidR="00571206" w:rsidRDefault="00571206" w:rsidP="00571206">
      <w:pPr>
        <w:numPr>
          <w:ilvl w:val="0"/>
          <w:numId w:val="11"/>
        </w:numP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Plan on share issu</w:t>
      </w:r>
      <w:r>
        <w:rPr>
          <w:rFonts w:ascii="Arial" w:hAnsi="Arial"/>
          <w:color w:val="010000"/>
          <w:sz w:val="20"/>
        </w:rPr>
        <w:t>e under ESOP 2024 is as follows:</w:t>
      </w:r>
    </w:p>
    <w:tbl>
      <w:tblPr>
        <w:tblW w:w="9015" w:type="dxa"/>
        <w:tblBorders>
          <w:insideH w:val="nil"/>
          <w:insideV w:val="nil"/>
        </w:tblBorders>
        <w:tblLayout w:type="fixed"/>
        <w:tblLook w:val="0400" w:firstRow="0" w:lastRow="0" w:firstColumn="0" w:lastColumn="0" w:noHBand="0" w:noVBand="1"/>
      </w:tblPr>
      <w:tblGrid>
        <w:gridCol w:w="3954"/>
        <w:gridCol w:w="450"/>
        <w:gridCol w:w="4611"/>
      </w:tblGrid>
      <w:tr w:rsidR="00571206" w14:paraId="0CE6364F" w14:textId="77777777" w:rsidTr="0018676D">
        <w:tc>
          <w:tcPr>
            <w:tcW w:w="3955" w:type="dxa"/>
            <w:tcBorders>
              <w:top w:val="nil"/>
              <w:left w:val="nil"/>
              <w:bottom w:val="nil"/>
              <w:right w:val="nil"/>
            </w:tcBorders>
            <w:hideMark/>
          </w:tcPr>
          <w:p w14:paraId="1621705B" w14:textId="77777777" w:rsidR="00571206" w:rsidRDefault="00571206" w:rsidP="0018676D">
            <w:pPr>
              <w:numPr>
                <w:ilvl w:val="0"/>
                <w:numId w:val="12"/>
              </w:numPr>
              <w:tabs>
                <w:tab w:val="left" w:pos="331"/>
              </w:tabs>
              <w:spacing w:after="120" w:line="360" w:lineRule="auto"/>
              <w:rPr>
                <w:rFonts w:ascii="Arial" w:eastAsia="Arial" w:hAnsi="Arial" w:cs="Arial"/>
                <w:color w:val="010000"/>
                <w:sz w:val="20"/>
                <w:szCs w:val="20"/>
              </w:rPr>
            </w:pPr>
            <w:r>
              <w:rPr>
                <w:rFonts w:ascii="Arial" w:hAnsi="Arial"/>
                <w:color w:val="010000"/>
                <w:sz w:val="20"/>
              </w:rPr>
              <w:t>Issuer</w:t>
            </w:r>
          </w:p>
        </w:tc>
        <w:tc>
          <w:tcPr>
            <w:tcW w:w="450" w:type="dxa"/>
            <w:tcBorders>
              <w:top w:val="nil"/>
              <w:left w:val="nil"/>
              <w:bottom w:val="nil"/>
              <w:right w:val="nil"/>
            </w:tcBorders>
            <w:hideMark/>
          </w:tcPr>
          <w:p w14:paraId="1BE013A6" w14:textId="77777777" w:rsidR="00571206" w:rsidRDefault="00571206" w:rsidP="0018676D">
            <w:pPr>
              <w:spacing w:after="120" w:line="360" w:lineRule="auto"/>
              <w:rPr>
                <w:rFonts w:ascii="Arial" w:eastAsia="Arial" w:hAnsi="Arial" w:cs="Arial"/>
                <w:color w:val="010000"/>
                <w:sz w:val="20"/>
                <w:szCs w:val="20"/>
              </w:rPr>
            </w:pPr>
            <w:r>
              <w:rPr>
                <w:rFonts w:ascii="Arial" w:hAnsi="Arial"/>
                <w:color w:val="010000"/>
                <w:sz w:val="20"/>
              </w:rPr>
              <w:t>:</w:t>
            </w:r>
          </w:p>
        </w:tc>
        <w:tc>
          <w:tcPr>
            <w:tcW w:w="4612" w:type="dxa"/>
            <w:tcBorders>
              <w:top w:val="nil"/>
              <w:left w:val="nil"/>
              <w:bottom w:val="nil"/>
              <w:right w:val="nil"/>
            </w:tcBorders>
            <w:hideMark/>
          </w:tcPr>
          <w:p w14:paraId="7E5E90CE" w14:textId="77777777" w:rsidR="00571206" w:rsidRDefault="00571206" w:rsidP="00571206">
            <w:pPr>
              <w:spacing w:after="120" w:line="360" w:lineRule="auto"/>
              <w:jc w:val="both"/>
              <w:rPr>
                <w:rFonts w:ascii="Arial" w:eastAsia="Arial" w:hAnsi="Arial" w:cs="Arial"/>
                <w:color w:val="010000"/>
                <w:sz w:val="20"/>
                <w:szCs w:val="20"/>
              </w:rPr>
            </w:pPr>
            <w:proofErr w:type="spellStart"/>
            <w:r>
              <w:rPr>
                <w:rFonts w:ascii="Arial" w:hAnsi="Arial"/>
                <w:color w:val="010000"/>
                <w:sz w:val="20"/>
              </w:rPr>
              <w:t>Gelex</w:t>
            </w:r>
            <w:proofErr w:type="spellEnd"/>
            <w:r>
              <w:rPr>
                <w:rFonts w:ascii="Arial" w:hAnsi="Arial"/>
                <w:color w:val="010000"/>
                <w:sz w:val="20"/>
              </w:rPr>
              <w:t xml:space="preserve"> Electricity Joint Stock Company</w:t>
            </w:r>
          </w:p>
        </w:tc>
      </w:tr>
      <w:tr w:rsidR="00571206" w14:paraId="1E651679" w14:textId="77777777" w:rsidTr="0018676D">
        <w:tc>
          <w:tcPr>
            <w:tcW w:w="3955" w:type="dxa"/>
            <w:tcBorders>
              <w:top w:val="nil"/>
              <w:left w:val="nil"/>
              <w:bottom w:val="nil"/>
              <w:right w:val="nil"/>
            </w:tcBorders>
            <w:hideMark/>
          </w:tcPr>
          <w:p w14:paraId="76BE37C2" w14:textId="77777777" w:rsidR="00571206" w:rsidRDefault="00571206" w:rsidP="0018676D">
            <w:pPr>
              <w:numPr>
                <w:ilvl w:val="0"/>
                <w:numId w:val="12"/>
              </w:numPr>
              <w:tabs>
                <w:tab w:val="left" w:pos="360"/>
              </w:tabs>
              <w:spacing w:after="120" w:line="360" w:lineRule="auto"/>
              <w:rPr>
                <w:rFonts w:ascii="Arial" w:eastAsia="Arial" w:hAnsi="Arial" w:cs="Arial"/>
                <w:color w:val="010000"/>
                <w:sz w:val="20"/>
                <w:szCs w:val="20"/>
              </w:rPr>
            </w:pPr>
            <w:r>
              <w:rPr>
                <w:rFonts w:ascii="Arial" w:hAnsi="Arial"/>
                <w:color w:val="010000"/>
                <w:sz w:val="20"/>
              </w:rPr>
              <w:t>Current charter capital of the Company</w:t>
            </w:r>
          </w:p>
        </w:tc>
        <w:tc>
          <w:tcPr>
            <w:tcW w:w="450" w:type="dxa"/>
            <w:tcBorders>
              <w:top w:val="nil"/>
              <w:left w:val="nil"/>
              <w:bottom w:val="nil"/>
              <w:right w:val="nil"/>
            </w:tcBorders>
            <w:hideMark/>
          </w:tcPr>
          <w:p w14:paraId="7A6DFD1E" w14:textId="77777777" w:rsidR="00571206" w:rsidRDefault="00571206" w:rsidP="0018676D">
            <w:pPr>
              <w:spacing w:after="120" w:line="360" w:lineRule="auto"/>
              <w:rPr>
                <w:rFonts w:ascii="Arial" w:eastAsia="Arial" w:hAnsi="Arial" w:cs="Arial"/>
                <w:color w:val="010000"/>
                <w:sz w:val="20"/>
                <w:szCs w:val="20"/>
              </w:rPr>
            </w:pPr>
            <w:r>
              <w:rPr>
                <w:rFonts w:ascii="Arial" w:hAnsi="Arial"/>
                <w:color w:val="010000"/>
                <w:sz w:val="20"/>
              </w:rPr>
              <w:t>:</w:t>
            </w:r>
          </w:p>
        </w:tc>
        <w:tc>
          <w:tcPr>
            <w:tcW w:w="4612" w:type="dxa"/>
            <w:tcBorders>
              <w:top w:val="nil"/>
              <w:left w:val="nil"/>
              <w:bottom w:val="nil"/>
              <w:right w:val="nil"/>
            </w:tcBorders>
            <w:hideMark/>
          </w:tcPr>
          <w:p w14:paraId="68945A9D" w14:textId="77777777" w:rsidR="00571206" w:rsidRDefault="00571206" w:rsidP="00571206">
            <w:pPr>
              <w:spacing w:after="120" w:line="360" w:lineRule="auto"/>
              <w:jc w:val="both"/>
              <w:rPr>
                <w:rFonts w:ascii="Arial" w:eastAsia="Arial" w:hAnsi="Arial" w:cs="Arial"/>
                <w:color w:val="010000"/>
                <w:sz w:val="20"/>
                <w:szCs w:val="20"/>
              </w:rPr>
            </w:pPr>
            <w:r>
              <w:rPr>
                <w:rFonts w:ascii="Arial" w:hAnsi="Arial"/>
                <w:color w:val="010000"/>
                <w:sz w:val="20"/>
              </w:rPr>
              <w:t>VND 3,000,000,00</w:t>
            </w:r>
            <w:bookmarkStart w:id="1" w:name="_GoBack"/>
            <w:bookmarkEnd w:id="1"/>
            <w:r>
              <w:rPr>
                <w:rFonts w:ascii="Arial" w:hAnsi="Arial"/>
                <w:color w:val="010000"/>
                <w:sz w:val="20"/>
              </w:rPr>
              <w:t>0,000</w:t>
            </w:r>
          </w:p>
        </w:tc>
      </w:tr>
      <w:tr w:rsidR="00571206" w14:paraId="25993949" w14:textId="77777777" w:rsidTr="0018676D">
        <w:tc>
          <w:tcPr>
            <w:tcW w:w="3955" w:type="dxa"/>
            <w:tcBorders>
              <w:top w:val="nil"/>
              <w:left w:val="nil"/>
              <w:bottom w:val="nil"/>
              <w:right w:val="nil"/>
            </w:tcBorders>
            <w:hideMark/>
          </w:tcPr>
          <w:p w14:paraId="271BE6D7" w14:textId="77777777" w:rsidR="00571206" w:rsidRDefault="00571206" w:rsidP="0018676D">
            <w:pPr>
              <w:numPr>
                <w:ilvl w:val="0"/>
                <w:numId w:val="12"/>
              </w:numPr>
              <w:tabs>
                <w:tab w:val="left" w:pos="364"/>
              </w:tabs>
              <w:spacing w:after="120" w:line="360" w:lineRule="auto"/>
              <w:rPr>
                <w:rFonts w:ascii="Arial" w:eastAsia="Arial" w:hAnsi="Arial" w:cs="Arial"/>
                <w:color w:val="010000"/>
                <w:sz w:val="20"/>
                <w:szCs w:val="20"/>
              </w:rPr>
            </w:pPr>
            <w:r>
              <w:rPr>
                <w:rFonts w:ascii="Arial" w:hAnsi="Arial"/>
                <w:color w:val="010000"/>
                <w:sz w:val="20"/>
              </w:rPr>
              <w:t xml:space="preserve">Number of shares expected to be </w:t>
            </w:r>
            <w:r>
              <w:rPr>
                <w:rFonts w:ascii="Arial" w:hAnsi="Arial"/>
                <w:color w:val="010000"/>
                <w:sz w:val="20"/>
              </w:rPr>
              <w:lastRenderedPageBreak/>
              <w:t>issued</w:t>
            </w:r>
          </w:p>
        </w:tc>
        <w:tc>
          <w:tcPr>
            <w:tcW w:w="450" w:type="dxa"/>
            <w:tcBorders>
              <w:top w:val="nil"/>
              <w:left w:val="nil"/>
              <w:bottom w:val="nil"/>
              <w:right w:val="nil"/>
            </w:tcBorders>
            <w:hideMark/>
          </w:tcPr>
          <w:p w14:paraId="7473997F" w14:textId="77777777" w:rsidR="00571206" w:rsidRDefault="00571206" w:rsidP="0018676D">
            <w:pPr>
              <w:spacing w:after="120" w:line="360" w:lineRule="auto"/>
              <w:rPr>
                <w:rFonts w:ascii="Arial" w:eastAsia="Arial" w:hAnsi="Arial" w:cs="Arial"/>
                <w:color w:val="010000"/>
                <w:sz w:val="20"/>
                <w:szCs w:val="20"/>
              </w:rPr>
            </w:pPr>
            <w:r>
              <w:rPr>
                <w:rFonts w:ascii="Arial" w:hAnsi="Arial"/>
                <w:color w:val="010000"/>
                <w:sz w:val="20"/>
              </w:rPr>
              <w:lastRenderedPageBreak/>
              <w:t>:</w:t>
            </w:r>
          </w:p>
        </w:tc>
        <w:tc>
          <w:tcPr>
            <w:tcW w:w="4612" w:type="dxa"/>
            <w:tcBorders>
              <w:top w:val="nil"/>
              <w:left w:val="nil"/>
              <w:bottom w:val="nil"/>
              <w:right w:val="nil"/>
            </w:tcBorders>
            <w:hideMark/>
          </w:tcPr>
          <w:p w14:paraId="11D4A3B6" w14:textId="77777777" w:rsidR="00571206" w:rsidRDefault="00571206" w:rsidP="00571206">
            <w:pPr>
              <w:spacing w:after="120" w:line="360" w:lineRule="auto"/>
              <w:jc w:val="both"/>
              <w:rPr>
                <w:rFonts w:ascii="Arial" w:eastAsia="Arial" w:hAnsi="Arial" w:cs="Arial"/>
                <w:color w:val="010000"/>
                <w:sz w:val="20"/>
                <w:szCs w:val="20"/>
              </w:rPr>
            </w:pPr>
            <w:r>
              <w:rPr>
                <w:rFonts w:ascii="Arial" w:hAnsi="Arial"/>
                <w:color w:val="010000"/>
                <w:sz w:val="20"/>
              </w:rPr>
              <w:t xml:space="preserve">5,000,000 shares, equivalent to 1.67% of the total </w:t>
            </w:r>
            <w:r>
              <w:rPr>
                <w:rFonts w:ascii="Arial" w:hAnsi="Arial"/>
                <w:color w:val="010000"/>
                <w:sz w:val="20"/>
              </w:rPr>
              <w:lastRenderedPageBreak/>
              <w:t>outstanding shares of the Company</w:t>
            </w:r>
          </w:p>
        </w:tc>
      </w:tr>
      <w:tr w:rsidR="00571206" w14:paraId="14D3D09A" w14:textId="77777777" w:rsidTr="0018676D">
        <w:tc>
          <w:tcPr>
            <w:tcW w:w="3955" w:type="dxa"/>
            <w:tcBorders>
              <w:top w:val="nil"/>
              <w:left w:val="nil"/>
              <w:bottom w:val="nil"/>
              <w:right w:val="nil"/>
            </w:tcBorders>
            <w:hideMark/>
          </w:tcPr>
          <w:p w14:paraId="023779E5" w14:textId="77777777" w:rsidR="00571206" w:rsidRDefault="00571206" w:rsidP="0018676D">
            <w:pPr>
              <w:numPr>
                <w:ilvl w:val="0"/>
                <w:numId w:val="12"/>
              </w:num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Type of shares issued</w:t>
            </w:r>
          </w:p>
        </w:tc>
        <w:tc>
          <w:tcPr>
            <w:tcW w:w="450" w:type="dxa"/>
            <w:tcBorders>
              <w:top w:val="nil"/>
              <w:left w:val="nil"/>
              <w:bottom w:val="nil"/>
              <w:right w:val="nil"/>
            </w:tcBorders>
            <w:hideMark/>
          </w:tcPr>
          <w:p w14:paraId="254BE789" w14:textId="77777777" w:rsidR="00571206" w:rsidRDefault="00571206" w:rsidP="0018676D">
            <w:pPr>
              <w:spacing w:after="120" w:line="360" w:lineRule="auto"/>
              <w:rPr>
                <w:rFonts w:ascii="Arial" w:eastAsia="Arial" w:hAnsi="Arial" w:cs="Arial"/>
                <w:color w:val="010000"/>
                <w:sz w:val="20"/>
                <w:szCs w:val="20"/>
              </w:rPr>
            </w:pPr>
            <w:r>
              <w:rPr>
                <w:rFonts w:ascii="Arial" w:hAnsi="Arial"/>
                <w:color w:val="010000"/>
                <w:sz w:val="20"/>
              </w:rPr>
              <w:t>:</w:t>
            </w:r>
          </w:p>
        </w:tc>
        <w:tc>
          <w:tcPr>
            <w:tcW w:w="4612" w:type="dxa"/>
            <w:tcBorders>
              <w:top w:val="nil"/>
              <w:left w:val="nil"/>
              <w:bottom w:val="nil"/>
              <w:right w:val="nil"/>
            </w:tcBorders>
            <w:hideMark/>
          </w:tcPr>
          <w:p w14:paraId="6BFE4617" w14:textId="77777777" w:rsidR="00571206" w:rsidRDefault="00571206" w:rsidP="00571206">
            <w:pPr>
              <w:spacing w:after="120" w:line="360" w:lineRule="auto"/>
              <w:jc w:val="both"/>
              <w:rPr>
                <w:rFonts w:ascii="Arial" w:eastAsia="Arial" w:hAnsi="Arial" w:cs="Arial"/>
                <w:color w:val="010000"/>
                <w:sz w:val="20"/>
                <w:szCs w:val="20"/>
              </w:rPr>
            </w:pPr>
            <w:r>
              <w:rPr>
                <w:rFonts w:ascii="Arial" w:hAnsi="Arial"/>
                <w:color w:val="010000"/>
                <w:sz w:val="20"/>
              </w:rPr>
              <w:t>Common share</w:t>
            </w:r>
          </w:p>
        </w:tc>
      </w:tr>
      <w:tr w:rsidR="00571206" w14:paraId="24CD9B41" w14:textId="77777777" w:rsidTr="0018676D">
        <w:tc>
          <w:tcPr>
            <w:tcW w:w="3955" w:type="dxa"/>
            <w:tcBorders>
              <w:top w:val="nil"/>
              <w:left w:val="nil"/>
              <w:bottom w:val="nil"/>
              <w:right w:val="nil"/>
            </w:tcBorders>
            <w:hideMark/>
          </w:tcPr>
          <w:p w14:paraId="1CF65B52" w14:textId="77777777" w:rsidR="00571206" w:rsidRDefault="00571206" w:rsidP="0018676D">
            <w:pPr>
              <w:numPr>
                <w:ilvl w:val="0"/>
                <w:numId w:val="12"/>
              </w:numPr>
              <w:tabs>
                <w:tab w:val="left" w:pos="356"/>
              </w:tabs>
              <w:spacing w:after="120" w:line="360" w:lineRule="auto"/>
              <w:rPr>
                <w:rFonts w:ascii="Arial" w:eastAsia="Arial" w:hAnsi="Arial" w:cs="Arial"/>
                <w:color w:val="010000"/>
                <w:sz w:val="20"/>
                <w:szCs w:val="20"/>
              </w:rPr>
            </w:pPr>
            <w:r>
              <w:rPr>
                <w:rFonts w:ascii="Arial" w:hAnsi="Arial"/>
                <w:color w:val="010000"/>
                <w:sz w:val="20"/>
              </w:rPr>
              <w:t>Share par value</w:t>
            </w:r>
          </w:p>
        </w:tc>
        <w:tc>
          <w:tcPr>
            <w:tcW w:w="450" w:type="dxa"/>
            <w:tcBorders>
              <w:top w:val="nil"/>
              <w:left w:val="nil"/>
              <w:bottom w:val="nil"/>
              <w:right w:val="nil"/>
            </w:tcBorders>
            <w:hideMark/>
          </w:tcPr>
          <w:p w14:paraId="321A152F" w14:textId="77777777" w:rsidR="00571206" w:rsidRDefault="00571206" w:rsidP="0018676D">
            <w:pPr>
              <w:spacing w:after="120" w:line="360" w:lineRule="auto"/>
              <w:rPr>
                <w:rFonts w:ascii="Arial" w:eastAsia="Arial" w:hAnsi="Arial" w:cs="Arial"/>
                <w:color w:val="010000"/>
                <w:sz w:val="20"/>
                <w:szCs w:val="20"/>
              </w:rPr>
            </w:pPr>
            <w:r>
              <w:rPr>
                <w:rFonts w:ascii="Arial" w:hAnsi="Arial"/>
                <w:color w:val="010000"/>
                <w:sz w:val="20"/>
              </w:rPr>
              <w:t>:</w:t>
            </w:r>
          </w:p>
        </w:tc>
        <w:tc>
          <w:tcPr>
            <w:tcW w:w="4612" w:type="dxa"/>
            <w:tcBorders>
              <w:top w:val="nil"/>
              <w:left w:val="nil"/>
              <w:bottom w:val="nil"/>
              <w:right w:val="nil"/>
            </w:tcBorders>
            <w:hideMark/>
          </w:tcPr>
          <w:p w14:paraId="2DAB6EFD" w14:textId="77777777" w:rsidR="00571206" w:rsidRDefault="00571206" w:rsidP="00571206">
            <w:pPr>
              <w:spacing w:after="120" w:line="360" w:lineRule="auto"/>
              <w:jc w:val="both"/>
              <w:rPr>
                <w:rFonts w:ascii="Arial" w:eastAsia="Arial" w:hAnsi="Arial" w:cs="Arial"/>
                <w:color w:val="010000"/>
                <w:sz w:val="20"/>
                <w:szCs w:val="20"/>
              </w:rPr>
            </w:pPr>
            <w:r>
              <w:rPr>
                <w:rFonts w:ascii="Arial" w:hAnsi="Arial"/>
                <w:color w:val="010000"/>
                <w:sz w:val="20"/>
              </w:rPr>
              <w:t>VND 10,000/share</w:t>
            </w:r>
          </w:p>
        </w:tc>
      </w:tr>
      <w:tr w:rsidR="00571206" w14:paraId="00548D03" w14:textId="77777777" w:rsidTr="0018676D">
        <w:tc>
          <w:tcPr>
            <w:tcW w:w="3955" w:type="dxa"/>
            <w:tcBorders>
              <w:top w:val="nil"/>
              <w:left w:val="nil"/>
              <w:bottom w:val="nil"/>
              <w:right w:val="nil"/>
            </w:tcBorders>
            <w:hideMark/>
          </w:tcPr>
          <w:p w14:paraId="7EC9E10E" w14:textId="77777777" w:rsidR="00571206" w:rsidRDefault="00571206" w:rsidP="0018676D">
            <w:pPr>
              <w:numPr>
                <w:ilvl w:val="0"/>
                <w:numId w:val="12"/>
              </w:numPr>
              <w:tabs>
                <w:tab w:val="left" w:pos="356"/>
              </w:tabs>
              <w:spacing w:after="120" w:line="360" w:lineRule="auto"/>
              <w:rPr>
                <w:rFonts w:ascii="Arial" w:eastAsia="Arial" w:hAnsi="Arial" w:cs="Arial"/>
                <w:color w:val="010000"/>
                <w:sz w:val="20"/>
                <w:szCs w:val="20"/>
              </w:rPr>
            </w:pPr>
            <w:r>
              <w:rPr>
                <w:rFonts w:ascii="Arial" w:hAnsi="Arial"/>
                <w:color w:val="010000"/>
                <w:sz w:val="20"/>
              </w:rPr>
              <w:t>Issue price</w:t>
            </w:r>
          </w:p>
        </w:tc>
        <w:tc>
          <w:tcPr>
            <w:tcW w:w="450" w:type="dxa"/>
            <w:tcBorders>
              <w:top w:val="nil"/>
              <w:left w:val="nil"/>
              <w:bottom w:val="nil"/>
              <w:right w:val="nil"/>
            </w:tcBorders>
            <w:hideMark/>
          </w:tcPr>
          <w:p w14:paraId="21CBCB20" w14:textId="77777777" w:rsidR="00571206" w:rsidRDefault="00571206" w:rsidP="0018676D">
            <w:pPr>
              <w:spacing w:after="120" w:line="360" w:lineRule="auto"/>
              <w:rPr>
                <w:rFonts w:ascii="Arial" w:eastAsia="Arial" w:hAnsi="Arial" w:cs="Arial"/>
                <w:color w:val="010000"/>
                <w:sz w:val="20"/>
                <w:szCs w:val="20"/>
              </w:rPr>
            </w:pPr>
            <w:r>
              <w:rPr>
                <w:rFonts w:ascii="Arial" w:hAnsi="Arial"/>
                <w:color w:val="010000"/>
                <w:sz w:val="20"/>
              </w:rPr>
              <w:t>:</w:t>
            </w:r>
          </w:p>
        </w:tc>
        <w:tc>
          <w:tcPr>
            <w:tcW w:w="4612" w:type="dxa"/>
            <w:tcBorders>
              <w:top w:val="nil"/>
              <w:left w:val="nil"/>
              <w:bottom w:val="nil"/>
              <w:right w:val="nil"/>
            </w:tcBorders>
            <w:hideMark/>
          </w:tcPr>
          <w:p w14:paraId="223C59FA" w14:textId="77777777" w:rsidR="00571206" w:rsidRDefault="00571206" w:rsidP="00571206">
            <w:pPr>
              <w:spacing w:after="120" w:line="360" w:lineRule="auto"/>
              <w:jc w:val="both"/>
              <w:rPr>
                <w:rFonts w:ascii="Arial" w:eastAsia="Arial" w:hAnsi="Arial" w:cs="Arial"/>
                <w:color w:val="010000"/>
                <w:sz w:val="20"/>
                <w:szCs w:val="20"/>
              </w:rPr>
            </w:pPr>
            <w:r>
              <w:rPr>
                <w:rFonts w:ascii="Arial" w:hAnsi="Arial"/>
                <w:color w:val="010000"/>
                <w:sz w:val="20"/>
              </w:rPr>
              <w:t>VND 10,000/share</w:t>
            </w:r>
          </w:p>
        </w:tc>
      </w:tr>
      <w:tr w:rsidR="00571206" w14:paraId="5329AB71" w14:textId="77777777" w:rsidTr="0018676D">
        <w:tc>
          <w:tcPr>
            <w:tcW w:w="3955" w:type="dxa"/>
            <w:tcBorders>
              <w:top w:val="nil"/>
              <w:left w:val="nil"/>
              <w:bottom w:val="nil"/>
              <w:right w:val="nil"/>
            </w:tcBorders>
            <w:hideMark/>
          </w:tcPr>
          <w:p w14:paraId="46B2609D" w14:textId="77777777" w:rsidR="00571206" w:rsidRDefault="00571206" w:rsidP="0018676D">
            <w:pPr>
              <w:numPr>
                <w:ilvl w:val="0"/>
                <w:numId w:val="12"/>
              </w:numPr>
              <w:tabs>
                <w:tab w:val="left" w:pos="356"/>
              </w:tabs>
              <w:spacing w:after="120" w:line="360" w:lineRule="auto"/>
              <w:rPr>
                <w:rFonts w:ascii="Arial" w:eastAsia="Arial" w:hAnsi="Arial" w:cs="Arial"/>
                <w:color w:val="010000"/>
                <w:sz w:val="20"/>
                <w:szCs w:val="20"/>
              </w:rPr>
            </w:pPr>
            <w:r>
              <w:rPr>
                <w:rFonts w:ascii="Arial" w:hAnsi="Arial"/>
                <w:color w:val="010000"/>
                <w:sz w:val="20"/>
              </w:rPr>
              <w:t>Total expected issue value</w:t>
            </w:r>
          </w:p>
        </w:tc>
        <w:tc>
          <w:tcPr>
            <w:tcW w:w="450" w:type="dxa"/>
            <w:tcBorders>
              <w:top w:val="nil"/>
              <w:left w:val="nil"/>
              <w:bottom w:val="nil"/>
              <w:right w:val="nil"/>
            </w:tcBorders>
            <w:hideMark/>
          </w:tcPr>
          <w:p w14:paraId="44314D8A" w14:textId="77777777" w:rsidR="00571206" w:rsidRDefault="00571206" w:rsidP="0018676D">
            <w:pPr>
              <w:spacing w:after="120" w:line="360" w:lineRule="auto"/>
              <w:rPr>
                <w:rFonts w:ascii="Arial" w:eastAsia="Arial" w:hAnsi="Arial" w:cs="Arial"/>
                <w:color w:val="010000"/>
                <w:sz w:val="20"/>
                <w:szCs w:val="20"/>
              </w:rPr>
            </w:pPr>
            <w:r>
              <w:rPr>
                <w:rFonts w:ascii="Arial" w:hAnsi="Arial"/>
                <w:color w:val="010000"/>
                <w:sz w:val="20"/>
              </w:rPr>
              <w:t>:</w:t>
            </w:r>
          </w:p>
        </w:tc>
        <w:tc>
          <w:tcPr>
            <w:tcW w:w="4612" w:type="dxa"/>
            <w:tcBorders>
              <w:top w:val="nil"/>
              <w:left w:val="nil"/>
              <w:bottom w:val="nil"/>
              <w:right w:val="nil"/>
            </w:tcBorders>
            <w:hideMark/>
          </w:tcPr>
          <w:p w14:paraId="32787B94" w14:textId="77777777" w:rsidR="00571206" w:rsidRDefault="00571206" w:rsidP="00571206">
            <w:pPr>
              <w:spacing w:after="120" w:line="360" w:lineRule="auto"/>
              <w:jc w:val="both"/>
              <w:rPr>
                <w:rFonts w:ascii="Arial" w:eastAsia="Arial" w:hAnsi="Arial" w:cs="Arial"/>
                <w:color w:val="010000"/>
                <w:sz w:val="20"/>
                <w:szCs w:val="20"/>
              </w:rPr>
            </w:pPr>
            <w:r>
              <w:rPr>
                <w:rFonts w:ascii="Arial" w:hAnsi="Arial"/>
                <w:color w:val="010000"/>
                <w:sz w:val="20"/>
              </w:rPr>
              <w:t>VND 50,000,000,000</w:t>
            </w:r>
          </w:p>
        </w:tc>
      </w:tr>
      <w:tr w:rsidR="00571206" w14:paraId="1B1D71C3" w14:textId="77777777" w:rsidTr="0018676D">
        <w:tc>
          <w:tcPr>
            <w:tcW w:w="3955" w:type="dxa"/>
            <w:tcBorders>
              <w:top w:val="nil"/>
              <w:left w:val="nil"/>
              <w:bottom w:val="nil"/>
              <w:right w:val="nil"/>
            </w:tcBorders>
            <w:hideMark/>
          </w:tcPr>
          <w:p w14:paraId="00A2DD41" w14:textId="5F191155" w:rsidR="00571206" w:rsidRDefault="00571206" w:rsidP="0018676D">
            <w:pPr>
              <w:numPr>
                <w:ilvl w:val="0"/>
                <w:numId w:val="12"/>
              </w:numPr>
              <w:tabs>
                <w:tab w:val="left" w:pos="349"/>
              </w:tabs>
              <w:spacing w:after="120" w:line="360" w:lineRule="auto"/>
              <w:rPr>
                <w:rFonts w:ascii="Arial" w:eastAsia="Arial" w:hAnsi="Arial" w:cs="Arial"/>
                <w:color w:val="010000"/>
                <w:sz w:val="20"/>
                <w:szCs w:val="20"/>
              </w:rPr>
            </w:pPr>
            <w:r>
              <w:rPr>
                <w:rFonts w:ascii="Arial" w:hAnsi="Arial"/>
                <w:color w:val="010000"/>
                <w:sz w:val="20"/>
              </w:rPr>
              <w:t>Expected issue date</w:t>
            </w:r>
          </w:p>
        </w:tc>
        <w:tc>
          <w:tcPr>
            <w:tcW w:w="450" w:type="dxa"/>
            <w:tcBorders>
              <w:top w:val="nil"/>
              <w:left w:val="nil"/>
              <w:bottom w:val="nil"/>
              <w:right w:val="nil"/>
            </w:tcBorders>
            <w:hideMark/>
          </w:tcPr>
          <w:p w14:paraId="030EB9DE" w14:textId="77777777" w:rsidR="00571206" w:rsidRDefault="00571206" w:rsidP="0018676D">
            <w:pPr>
              <w:spacing w:after="120" w:line="360" w:lineRule="auto"/>
              <w:rPr>
                <w:rFonts w:ascii="Arial" w:eastAsia="Arial" w:hAnsi="Arial" w:cs="Arial"/>
                <w:color w:val="010000"/>
                <w:sz w:val="20"/>
                <w:szCs w:val="20"/>
              </w:rPr>
            </w:pPr>
            <w:r>
              <w:rPr>
                <w:rFonts w:ascii="Arial" w:hAnsi="Arial"/>
                <w:color w:val="010000"/>
                <w:sz w:val="20"/>
              </w:rPr>
              <w:t>:</w:t>
            </w:r>
          </w:p>
        </w:tc>
        <w:tc>
          <w:tcPr>
            <w:tcW w:w="4612" w:type="dxa"/>
            <w:tcBorders>
              <w:top w:val="nil"/>
              <w:left w:val="nil"/>
              <w:bottom w:val="nil"/>
              <w:right w:val="nil"/>
            </w:tcBorders>
            <w:hideMark/>
          </w:tcPr>
          <w:p w14:paraId="66FD366A" w14:textId="77777777" w:rsidR="00571206" w:rsidRDefault="00571206" w:rsidP="00571206">
            <w:pPr>
              <w:spacing w:after="120" w:line="360" w:lineRule="auto"/>
              <w:jc w:val="both"/>
              <w:rPr>
                <w:rFonts w:ascii="Arial" w:eastAsia="Arial" w:hAnsi="Arial" w:cs="Arial"/>
                <w:color w:val="010000"/>
                <w:sz w:val="20"/>
                <w:szCs w:val="20"/>
              </w:rPr>
            </w:pPr>
            <w:r>
              <w:rPr>
                <w:rFonts w:ascii="Arial" w:hAnsi="Arial"/>
                <w:color w:val="010000"/>
                <w:sz w:val="20"/>
              </w:rPr>
              <w:t>Within 1 year from the date of the General Mandate on approving the ESOP issue plan 2024 and begun implementation after GELEX Electric completes the listing registration of the Company's shares at the Ho Chi Minh Stock Exchange Assign the Board of Directors to decide on the specific implementation time in accordance with the actual status and approval from the competent state agency.</w:t>
            </w:r>
          </w:p>
        </w:tc>
      </w:tr>
      <w:tr w:rsidR="00571206" w14:paraId="78A2C710" w14:textId="77777777" w:rsidTr="0018676D">
        <w:tc>
          <w:tcPr>
            <w:tcW w:w="3955" w:type="dxa"/>
            <w:tcBorders>
              <w:top w:val="nil"/>
              <w:left w:val="nil"/>
              <w:bottom w:val="nil"/>
              <w:right w:val="nil"/>
            </w:tcBorders>
            <w:hideMark/>
          </w:tcPr>
          <w:p w14:paraId="53A20AA0" w14:textId="77777777" w:rsidR="00571206" w:rsidRDefault="00571206" w:rsidP="0018676D">
            <w:pPr>
              <w:numPr>
                <w:ilvl w:val="0"/>
                <w:numId w:val="12"/>
              </w:numPr>
              <w:tabs>
                <w:tab w:val="left" w:pos="349"/>
              </w:tabs>
              <w:spacing w:after="120" w:line="360" w:lineRule="auto"/>
              <w:rPr>
                <w:rFonts w:ascii="Arial" w:eastAsia="Arial" w:hAnsi="Arial" w:cs="Arial"/>
                <w:color w:val="010000"/>
                <w:sz w:val="20"/>
                <w:szCs w:val="20"/>
              </w:rPr>
            </w:pPr>
            <w:r>
              <w:rPr>
                <w:rFonts w:ascii="Arial" w:hAnsi="Arial"/>
                <w:color w:val="010000"/>
                <w:sz w:val="20"/>
              </w:rPr>
              <w:t>Subject entitled to purchase shares</w:t>
            </w:r>
          </w:p>
        </w:tc>
        <w:tc>
          <w:tcPr>
            <w:tcW w:w="450" w:type="dxa"/>
            <w:tcBorders>
              <w:top w:val="nil"/>
              <w:left w:val="nil"/>
              <w:bottom w:val="nil"/>
              <w:right w:val="nil"/>
            </w:tcBorders>
            <w:hideMark/>
          </w:tcPr>
          <w:p w14:paraId="0A7E6C3A" w14:textId="77777777" w:rsidR="00571206" w:rsidRDefault="00571206" w:rsidP="0018676D">
            <w:pPr>
              <w:spacing w:after="120" w:line="360" w:lineRule="auto"/>
              <w:rPr>
                <w:rFonts w:ascii="Arial" w:eastAsia="Arial" w:hAnsi="Arial" w:cs="Arial"/>
                <w:color w:val="010000"/>
                <w:sz w:val="20"/>
                <w:szCs w:val="20"/>
              </w:rPr>
            </w:pPr>
            <w:r>
              <w:rPr>
                <w:rFonts w:ascii="Arial" w:hAnsi="Arial"/>
                <w:color w:val="010000"/>
                <w:sz w:val="20"/>
              </w:rPr>
              <w:t>:</w:t>
            </w:r>
          </w:p>
        </w:tc>
        <w:tc>
          <w:tcPr>
            <w:tcW w:w="4612" w:type="dxa"/>
            <w:tcBorders>
              <w:top w:val="nil"/>
              <w:left w:val="nil"/>
              <w:bottom w:val="nil"/>
              <w:right w:val="nil"/>
            </w:tcBorders>
            <w:hideMark/>
          </w:tcPr>
          <w:p w14:paraId="2F0AA737" w14:textId="77777777" w:rsidR="00571206" w:rsidRDefault="00571206" w:rsidP="00571206">
            <w:pPr>
              <w:spacing w:after="120" w:line="360" w:lineRule="auto"/>
              <w:jc w:val="both"/>
              <w:rPr>
                <w:rFonts w:ascii="Arial" w:eastAsia="Arial" w:hAnsi="Arial" w:cs="Arial"/>
                <w:color w:val="010000"/>
                <w:sz w:val="20"/>
                <w:szCs w:val="20"/>
              </w:rPr>
            </w:pPr>
            <w:r>
              <w:rPr>
                <w:rFonts w:ascii="Arial" w:hAnsi="Arial"/>
                <w:color w:val="010000"/>
                <w:sz w:val="20"/>
              </w:rPr>
              <w:t>Members of the Board of Directors, members of the Supervisory Board, employees and personnel working for GELEX Electric and its subsidiaries (direct/indirect) (hereinafter collectively referred to as "employees") according to the criteria and list approved by the Company Board of Directors.</w:t>
            </w:r>
          </w:p>
          <w:p w14:paraId="46BDC105" w14:textId="77777777" w:rsidR="00571206" w:rsidRDefault="00571206" w:rsidP="00571206">
            <w:pPr>
              <w:tabs>
                <w:tab w:val="left" w:pos="5998"/>
              </w:tabs>
              <w:spacing w:after="120" w:line="360" w:lineRule="auto"/>
              <w:jc w:val="both"/>
              <w:rPr>
                <w:rFonts w:ascii="Arial" w:eastAsia="Arial" w:hAnsi="Arial" w:cs="Arial"/>
                <w:color w:val="010000"/>
                <w:sz w:val="20"/>
                <w:szCs w:val="20"/>
              </w:rPr>
            </w:pPr>
            <w:r>
              <w:rPr>
                <w:rFonts w:ascii="Arial" w:hAnsi="Arial"/>
                <w:color w:val="010000"/>
                <w:sz w:val="20"/>
              </w:rPr>
              <w:t>Assign the Company Board of Directors to approve the principles of determining the number of shares distributed to each subject.</w:t>
            </w:r>
          </w:p>
        </w:tc>
      </w:tr>
      <w:tr w:rsidR="00571206" w14:paraId="4B19FB40" w14:textId="77777777" w:rsidTr="0018676D">
        <w:tc>
          <w:tcPr>
            <w:tcW w:w="3955" w:type="dxa"/>
            <w:tcBorders>
              <w:top w:val="nil"/>
              <w:left w:val="nil"/>
              <w:bottom w:val="nil"/>
              <w:right w:val="nil"/>
            </w:tcBorders>
            <w:hideMark/>
          </w:tcPr>
          <w:p w14:paraId="17BBA062" w14:textId="77777777" w:rsidR="00571206" w:rsidRDefault="00571206" w:rsidP="0018676D">
            <w:pPr>
              <w:numPr>
                <w:ilvl w:val="0"/>
                <w:numId w:val="12"/>
              </w:numPr>
              <w:tabs>
                <w:tab w:val="left" w:pos="349"/>
              </w:tabs>
              <w:spacing w:after="120" w:line="360" w:lineRule="auto"/>
              <w:rPr>
                <w:rFonts w:ascii="Arial" w:eastAsia="Arial" w:hAnsi="Arial" w:cs="Arial"/>
                <w:color w:val="010000"/>
                <w:sz w:val="20"/>
                <w:szCs w:val="20"/>
              </w:rPr>
            </w:pPr>
            <w:r>
              <w:rPr>
                <w:rFonts w:ascii="Arial" w:hAnsi="Arial"/>
                <w:color w:val="010000"/>
                <w:sz w:val="20"/>
              </w:rPr>
              <w:t>Plan on using capital obtained from the issuance</w:t>
            </w:r>
          </w:p>
        </w:tc>
        <w:tc>
          <w:tcPr>
            <w:tcW w:w="450" w:type="dxa"/>
            <w:tcBorders>
              <w:top w:val="nil"/>
              <w:left w:val="nil"/>
              <w:bottom w:val="nil"/>
              <w:right w:val="nil"/>
            </w:tcBorders>
            <w:hideMark/>
          </w:tcPr>
          <w:p w14:paraId="140494EA" w14:textId="77777777" w:rsidR="00571206" w:rsidRDefault="00571206" w:rsidP="0018676D">
            <w:pPr>
              <w:tabs>
                <w:tab w:val="left" w:pos="5998"/>
              </w:tabs>
              <w:spacing w:after="120" w:line="360" w:lineRule="auto"/>
              <w:rPr>
                <w:rFonts w:ascii="Arial" w:eastAsia="Arial" w:hAnsi="Arial" w:cs="Arial"/>
                <w:color w:val="010000"/>
                <w:sz w:val="20"/>
                <w:szCs w:val="20"/>
              </w:rPr>
            </w:pPr>
            <w:r>
              <w:rPr>
                <w:rFonts w:ascii="Arial" w:hAnsi="Arial"/>
                <w:color w:val="010000"/>
                <w:sz w:val="20"/>
              </w:rPr>
              <w:t>:</w:t>
            </w:r>
          </w:p>
        </w:tc>
        <w:tc>
          <w:tcPr>
            <w:tcW w:w="4612" w:type="dxa"/>
            <w:tcBorders>
              <w:top w:val="nil"/>
              <w:left w:val="nil"/>
              <w:bottom w:val="nil"/>
              <w:right w:val="nil"/>
            </w:tcBorders>
            <w:hideMark/>
          </w:tcPr>
          <w:p w14:paraId="0ED18929" w14:textId="77777777" w:rsidR="00571206" w:rsidRDefault="00571206" w:rsidP="00571206">
            <w:pPr>
              <w:spacing w:line="276" w:lineRule="auto"/>
              <w:jc w:val="both"/>
              <w:rPr>
                <w:rFonts w:ascii="Arial" w:eastAsia="Arial" w:hAnsi="Arial" w:cs="Arial"/>
                <w:color w:val="010000"/>
                <w:sz w:val="20"/>
                <w:szCs w:val="20"/>
              </w:rPr>
            </w:pPr>
            <w:r>
              <w:rPr>
                <w:rFonts w:ascii="Arial" w:hAnsi="Arial"/>
                <w:color w:val="010000"/>
                <w:sz w:val="20"/>
              </w:rPr>
              <w:t>The proceeds from implementing the ESOP issue plan 2024 are expected to be used to increase the scale of operating capital, supplement the Company's working capital and/or reduce debt.</w:t>
            </w:r>
          </w:p>
          <w:p w14:paraId="1787AD8F" w14:textId="77777777" w:rsidR="00571206" w:rsidRDefault="00571206" w:rsidP="00571206">
            <w:pPr>
              <w:spacing w:after="120" w:line="360" w:lineRule="auto"/>
              <w:jc w:val="both"/>
              <w:rPr>
                <w:rFonts w:ascii="Arial" w:eastAsia="Arial" w:hAnsi="Arial" w:cs="Arial"/>
                <w:color w:val="010000"/>
                <w:sz w:val="20"/>
                <w:szCs w:val="20"/>
              </w:rPr>
            </w:pPr>
            <w:r>
              <w:rPr>
                <w:rFonts w:ascii="Arial" w:hAnsi="Arial"/>
                <w:color w:val="010000"/>
                <w:sz w:val="20"/>
              </w:rPr>
              <w:t>Assign the Board of Directors to decide in detail the plan on using capital obtained from the issuance in accordance with the actual status and legal regulations.</w:t>
            </w:r>
          </w:p>
        </w:tc>
      </w:tr>
      <w:tr w:rsidR="00571206" w14:paraId="6954DDBE" w14:textId="77777777" w:rsidTr="0018676D">
        <w:tc>
          <w:tcPr>
            <w:tcW w:w="3955" w:type="dxa"/>
            <w:tcBorders>
              <w:top w:val="nil"/>
              <w:left w:val="nil"/>
              <w:bottom w:val="nil"/>
              <w:right w:val="nil"/>
            </w:tcBorders>
            <w:hideMark/>
          </w:tcPr>
          <w:p w14:paraId="3EC897D9" w14:textId="77777777" w:rsidR="00571206" w:rsidRDefault="00571206" w:rsidP="0018676D">
            <w:pPr>
              <w:numPr>
                <w:ilvl w:val="0"/>
                <w:numId w:val="12"/>
              </w:numPr>
              <w:tabs>
                <w:tab w:val="left" w:pos="349"/>
              </w:tabs>
              <w:spacing w:after="120" w:line="360" w:lineRule="auto"/>
              <w:rPr>
                <w:rFonts w:ascii="Arial" w:eastAsia="Arial" w:hAnsi="Arial" w:cs="Arial"/>
                <w:color w:val="010000"/>
                <w:sz w:val="20"/>
                <w:szCs w:val="20"/>
              </w:rPr>
            </w:pPr>
            <w:r>
              <w:rPr>
                <w:rFonts w:ascii="Arial" w:hAnsi="Arial"/>
                <w:color w:val="010000"/>
                <w:sz w:val="20"/>
              </w:rPr>
              <w:t>Transfer restriction time</w:t>
            </w:r>
          </w:p>
        </w:tc>
        <w:tc>
          <w:tcPr>
            <w:tcW w:w="450" w:type="dxa"/>
            <w:tcBorders>
              <w:top w:val="nil"/>
              <w:left w:val="nil"/>
              <w:bottom w:val="nil"/>
              <w:right w:val="nil"/>
            </w:tcBorders>
            <w:hideMark/>
          </w:tcPr>
          <w:p w14:paraId="30763241" w14:textId="77777777" w:rsidR="00571206" w:rsidRDefault="00571206" w:rsidP="0018676D">
            <w:pPr>
              <w:spacing w:after="120" w:line="360" w:lineRule="auto"/>
              <w:rPr>
                <w:rFonts w:ascii="Arial" w:eastAsia="Arial" w:hAnsi="Arial" w:cs="Arial"/>
                <w:color w:val="010000"/>
                <w:sz w:val="20"/>
                <w:szCs w:val="20"/>
              </w:rPr>
            </w:pPr>
            <w:r>
              <w:rPr>
                <w:rFonts w:ascii="Arial" w:hAnsi="Arial"/>
                <w:color w:val="010000"/>
                <w:sz w:val="20"/>
              </w:rPr>
              <w:t>:</w:t>
            </w:r>
          </w:p>
        </w:tc>
        <w:tc>
          <w:tcPr>
            <w:tcW w:w="4612" w:type="dxa"/>
            <w:tcBorders>
              <w:top w:val="nil"/>
              <w:left w:val="nil"/>
              <w:bottom w:val="nil"/>
              <w:right w:val="nil"/>
            </w:tcBorders>
            <w:hideMark/>
          </w:tcPr>
          <w:p w14:paraId="4172B9F6" w14:textId="77777777" w:rsidR="00571206" w:rsidRDefault="00571206" w:rsidP="00571206">
            <w:pPr>
              <w:spacing w:after="120" w:line="360" w:lineRule="auto"/>
              <w:jc w:val="both"/>
              <w:rPr>
                <w:rFonts w:ascii="Arial" w:eastAsia="Arial" w:hAnsi="Arial" w:cs="Arial"/>
                <w:color w:val="010000"/>
                <w:sz w:val="20"/>
                <w:szCs w:val="20"/>
              </w:rPr>
            </w:pPr>
            <w:r>
              <w:rPr>
                <w:rFonts w:ascii="Arial" w:hAnsi="Arial"/>
                <w:color w:val="010000"/>
                <w:sz w:val="20"/>
              </w:rPr>
              <w:t xml:space="preserve">Shares sold to employees under ESOP issue plan 2024 will be restricted from transfer for 5 years from the end of the issuance and gradually cleared according to the following schedule and rate: 25% of the shares purchased by employees will be cleared after 42 months, 25% of the shares will be cleared after 48 months, 25% of the shares will be </w:t>
            </w:r>
            <w:r>
              <w:rPr>
                <w:rFonts w:ascii="Arial" w:hAnsi="Arial"/>
                <w:color w:val="010000"/>
                <w:sz w:val="20"/>
              </w:rPr>
              <w:lastRenderedPageBreak/>
              <w:t>cleared after 54 months and 25% of the shares will be cleared after 60 months from the date of completion of this issuance. Rights and interests arising from the purchased shares (if any) will not be subject to transfer restrictions.</w:t>
            </w:r>
          </w:p>
        </w:tc>
      </w:tr>
      <w:tr w:rsidR="00571206" w14:paraId="2A5F1D48" w14:textId="77777777" w:rsidTr="0018676D">
        <w:tc>
          <w:tcPr>
            <w:tcW w:w="3955" w:type="dxa"/>
            <w:tcBorders>
              <w:top w:val="nil"/>
              <w:left w:val="nil"/>
              <w:bottom w:val="nil"/>
              <w:right w:val="nil"/>
            </w:tcBorders>
            <w:hideMark/>
          </w:tcPr>
          <w:p w14:paraId="77CBB7E2" w14:textId="77777777" w:rsidR="00571206" w:rsidRDefault="00571206" w:rsidP="0018676D">
            <w:pPr>
              <w:numPr>
                <w:ilvl w:val="0"/>
                <w:numId w:val="12"/>
              </w:numPr>
              <w:tabs>
                <w:tab w:val="left" w:pos="349"/>
              </w:tabs>
              <w:spacing w:after="120" w:line="360" w:lineRule="auto"/>
              <w:rPr>
                <w:rFonts w:ascii="Arial" w:eastAsia="Arial" w:hAnsi="Arial" w:cs="Arial"/>
                <w:color w:val="010000"/>
                <w:sz w:val="20"/>
                <w:szCs w:val="20"/>
              </w:rPr>
            </w:pPr>
            <w:r>
              <w:rPr>
                <w:rFonts w:ascii="Arial" w:hAnsi="Arial"/>
                <w:color w:val="010000"/>
                <w:sz w:val="20"/>
              </w:rPr>
              <w:lastRenderedPageBreak/>
              <w:t>Plan on handling shares that are not fully offered as expected</w:t>
            </w:r>
          </w:p>
        </w:tc>
        <w:tc>
          <w:tcPr>
            <w:tcW w:w="450" w:type="dxa"/>
            <w:tcBorders>
              <w:top w:val="nil"/>
              <w:left w:val="nil"/>
              <w:bottom w:val="nil"/>
              <w:right w:val="nil"/>
            </w:tcBorders>
            <w:hideMark/>
          </w:tcPr>
          <w:p w14:paraId="5D5A4E96" w14:textId="77777777" w:rsidR="00571206" w:rsidRDefault="00571206" w:rsidP="0018676D">
            <w:pPr>
              <w:spacing w:after="120" w:line="360" w:lineRule="auto"/>
              <w:rPr>
                <w:rFonts w:ascii="Arial" w:eastAsia="Arial" w:hAnsi="Arial" w:cs="Arial"/>
                <w:color w:val="010000"/>
                <w:sz w:val="20"/>
                <w:szCs w:val="20"/>
              </w:rPr>
            </w:pPr>
            <w:r>
              <w:rPr>
                <w:rFonts w:ascii="Arial" w:hAnsi="Arial"/>
                <w:color w:val="010000"/>
                <w:sz w:val="20"/>
              </w:rPr>
              <w:t>:</w:t>
            </w:r>
          </w:p>
        </w:tc>
        <w:tc>
          <w:tcPr>
            <w:tcW w:w="4612" w:type="dxa"/>
            <w:tcBorders>
              <w:top w:val="nil"/>
              <w:left w:val="nil"/>
              <w:bottom w:val="nil"/>
              <w:right w:val="nil"/>
            </w:tcBorders>
          </w:tcPr>
          <w:p w14:paraId="63901AC0" w14:textId="09C744DB" w:rsidR="00571206" w:rsidRDefault="00571206" w:rsidP="00571206">
            <w:pPr>
              <w:spacing w:after="120" w:line="360" w:lineRule="auto"/>
              <w:jc w:val="both"/>
              <w:rPr>
                <w:rFonts w:ascii="Arial" w:eastAsia="Arial" w:hAnsi="Arial" w:cs="Arial"/>
                <w:color w:val="010000"/>
                <w:sz w:val="20"/>
                <w:szCs w:val="20"/>
              </w:rPr>
            </w:pPr>
            <w:r>
              <w:rPr>
                <w:rFonts w:ascii="Arial" w:hAnsi="Arial"/>
                <w:color w:val="010000"/>
                <w:sz w:val="20"/>
              </w:rPr>
              <w:t xml:space="preserve">The </w:t>
            </w:r>
            <w:r>
              <w:rPr>
                <w:rFonts w:ascii="Arial" w:hAnsi="Arial"/>
                <w:color w:val="010000"/>
                <w:sz w:val="20"/>
              </w:rPr>
              <w:t>General Meeting</w:t>
            </w:r>
            <w:r>
              <w:rPr>
                <w:rFonts w:ascii="Arial" w:hAnsi="Arial"/>
                <w:color w:val="010000"/>
                <w:sz w:val="20"/>
              </w:rPr>
              <w:t xml:space="preserve"> authorizes the Board of Directors to decide to continue selling shares that are not fully offered to other employees at the Company and/or a number of subsidiaries (direct/indirect) of the Company outside the list of employees selected according to the Board of Directors’ decision with the unchanged selling price and transfer restriction time.</w:t>
            </w:r>
          </w:p>
        </w:tc>
      </w:tr>
    </w:tbl>
    <w:p w14:paraId="36B0AE3D" w14:textId="77777777" w:rsidR="00571206" w:rsidRPr="006271BB" w:rsidRDefault="00571206" w:rsidP="005338B5">
      <w:pPr>
        <w:pBdr>
          <w:top w:val="nil"/>
          <w:left w:val="nil"/>
          <w:bottom w:val="nil"/>
          <w:right w:val="nil"/>
          <w:between w:val="nil"/>
        </w:pBdr>
        <w:spacing w:after="120" w:line="360" w:lineRule="auto"/>
        <w:jc w:val="both"/>
        <w:rPr>
          <w:rFonts w:ascii="Arial" w:eastAsia="Arial" w:hAnsi="Arial" w:cs="Arial"/>
          <w:color w:val="010000"/>
          <w:sz w:val="20"/>
          <w:szCs w:val="20"/>
        </w:rPr>
      </w:pPr>
    </w:p>
    <w:p w14:paraId="65307041" w14:textId="05BC6B2F" w:rsidR="00E67962" w:rsidRPr="006271BB"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Article 18. Approve the public offering plan </w:t>
      </w:r>
    </w:p>
    <w:p w14:paraId="0E4F5E02" w14:textId="37A51770" w:rsidR="00E67962" w:rsidRPr="00472AA7" w:rsidRDefault="00472AA7" w:rsidP="005338B5">
      <w:pPr>
        <w:pBdr>
          <w:top w:val="nil"/>
          <w:left w:val="nil"/>
          <w:bottom w:val="nil"/>
          <w:right w:val="nil"/>
          <w:between w:val="nil"/>
        </w:pBdr>
        <w:spacing w:after="120" w:line="360" w:lineRule="auto"/>
        <w:jc w:val="both"/>
        <w:rPr>
          <w:rFonts w:ascii="Arial" w:eastAsia="Arial" w:hAnsi="Arial" w:cs="Arial"/>
          <w:color w:val="010000"/>
          <w:sz w:val="20"/>
          <w:szCs w:val="20"/>
        </w:rPr>
      </w:pPr>
      <w:r w:rsidRPr="006271BB">
        <w:rPr>
          <w:rFonts w:ascii="Arial" w:hAnsi="Arial" w:cs="Arial"/>
          <w:color w:val="010000"/>
          <w:sz w:val="20"/>
        </w:rPr>
        <w:t xml:space="preserve">‎‎Article 19. This General Mandate takes effect from the date of its signing. The Board of Directors, </w:t>
      </w:r>
      <w:r w:rsidR="00510B39">
        <w:rPr>
          <w:rFonts w:ascii="Arial" w:hAnsi="Arial" w:cs="Arial"/>
          <w:color w:val="010000"/>
          <w:sz w:val="20"/>
        </w:rPr>
        <w:t>Executive Board and</w:t>
      </w:r>
      <w:r w:rsidRPr="006271BB">
        <w:rPr>
          <w:rFonts w:ascii="Arial" w:hAnsi="Arial" w:cs="Arial"/>
          <w:color w:val="010000"/>
          <w:sz w:val="20"/>
        </w:rPr>
        <w:t xml:space="preserve"> related departments and individuals of the Company are responsible for implementing this General Mandate.</w:t>
      </w:r>
    </w:p>
    <w:sectPr w:rsidR="00E67962" w:rsidRPr="00472AA7" w:rsidSect="00472AA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6E6"/>
    <w:multiLevelType w:val="multilevel"/>
    <w:tmpl w:val="52F0513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183867"/>
    <w:multiLevelType w:val="multilevel"/>
    <w:tmpl w:val="14F8F232"/>
    <w:lvl w:ilvl="0">
      <w:start w:val="1"/>
      <w:numFmt w:val="decimal"/>
      <w:lvlText w:val="9.%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9703C9"/>
    <w:multiLevelType w:val="multilevel"/>
    <w:tmpl w:val="E0CA46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E6A1F53"/>
    <w:multiLevelType w:val="multilevel"/>
    <w:tmpl w:val="EC1A5D94"/>
    <w:lvl w:ilvl="0">
      <w:start w:val="1"/>
      <w:numFmt w:val="decimal"/>
      <w:lvlText w:val="%1."/>
      <w:lvlJc w:val="left"/>
      <w:pPr>
        <w:ind w:left="0" w:firstLine="0"/>
      </w:pPr>
      <w:rPr>
        <w:rFonts w:ascii="Arial" w:eastAsia="Arial" w:hAnsi="Arial" w:cs="Arial"/>
        <w:b w:val="0"/>
        <w:i w:val="0"/>
        <w:smallCaps w:val="0"/>
        <w:strike w:val="0"/>
        <w:dstrike w:val="0"/>
        <w:color w:val="000000"/>
        <w:sz w:val="20"/>
        <w:szCs w:val="20"/>
        <w:u w:val="none"/>
        <w:effect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3B606D4"/>
    <w:multiLevelType w:val="multilevel"/>
    <w:tmpl w:val="6748982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95731A"/>
    <w:multiLevelType w:val="multilevel"/>
    <w:tmpl w:val="00CCCA3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6197132"/>
    <w:multiLevelType w:val="multilevel"/>
    <w:tmpl w:val="2C30A21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0E44B9"/>
    <w:multiLevelType w:val="multilevel"/>
    <w:tmpl w:val="42565BD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C08396F"/>
    <w:multiLevelType w:val="multilevel"/>
    <w:tmpl w:val="5CAA609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430ADE"/>
    <w:multiLevelType w:val="multilevel"/>
    <w:tmpl w:val="0E228B10"/>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5BA302D"/>
    <w:multiLevelType w:val="multilevel"/>
    <w:tmpl w:val="FAE85A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ABF51FE"/>
    <w:multiLevelType w:val="multilevel"/>
    <w:tmpl w:val="737E2E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1"/>
  </w:num>
  <w:num w:numId="3">
    <w:abstractNumId w:val="0"/>
  </w:num>
  <w:num w:numId="4">
    <w:abstractNumId w:val="8"/>
  </w:num>
  <w:num w:numId="5">
    <w:abstractNumId w:val="5"/>
  </w:num>
  <w:num w:numId="6">
    <w:abstractNumId w:val="9"/>
  </w:num>
  <w:num w:numId="7">
    <w:abstractNumId w:val="6"/>
  </w:num>
  <w:num w:numId="8">
    <w:abstractNumId w:val="2"/>
  </w:num>
  <w:num w:numId="9">
    <w:abstractNumId w:val="10"/>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62"/>
    <w:rsid w:val="002C6751"/>
    <w:rsid w:val="003970CF"/>
    <w:rsid w:val="00472AA7"/>
    <w:rsid w:val="00510B39"/>
    <w:rsid w:val="005338B5"/>
    <w:rsid w:val="00571206"/>
    <w:rsid w:val="006271BB"/>
    <w:rsid w:val="00C729ED"/>
    <w:rsid w:val="00E6796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28DE6"/>
  <w15:docId w15:val="{0851F743-30B3-44FE-ACDC-C69C37D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C33F57"/>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ahoma" w:eastAsia="Tahoma" w:hAnsi="Tahoma" w:cs="Tahoma"/>
      <w:b w:val="0"/>
      <w:bCs w:val="0"/>
      <w:i w:val="0"/>
      <w:iCs w:val="0"/>
      <w:smallCaps w:val="0"/>
      <w:strike w:val="0"/>
      <w:color w:val="C33F57"/>
      <w:sz w:val="17"/>
      <w:szCs w:val="17"/>
      <w:u w:val="none"/>
      <w:shd w:val="clear" w:color="auto" w:fill="auto"/>
    </w:rPr>
  </w:style>
  <w:style w:type="paragraph" w:customStyle="1" w:styleId="Vnbnnidung0">
    <w:name w:val="Văn bản nội dung"/>
    <w:basedOn w:val="Normal"/>
    <w:link w:val="Vnbnnidung"/>
    <w:pPr>
      <w:spacing w:line="288" w:lineRule="auto"/>
    </w:pPr>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Tiu20">
    <w:name w:val="Tiêu đề #2"/>
    <w:basedOn w:val="Normal"/>
    <w:link w:val="Tiu2"/>
    <w:pPr>
      <w:spacing w:line="271" w:lineRule="auto"/>
      <w:outlineLvl w:val="1"/>
    </w:pPr>
    <w:rPr>
      <w:rFonts w:ascii="Times New Roman" w:eastAsia="Times New Roman" w:hAnsi="Times New Roman" w:cs="Times New Roman"/>
      <w:b/>
      <w:bCs/>
      <w:sz w:val="22"/>
      <w:szCs w:val="22"/>
    </w:rPr>
  </w:style>
  <w:style w:type="paragraph" w:customStyle="1" w:styleId="Tiu10">
    <w:name w:val="Tiêu đề #1"/>
    <w:basedOn w:val="Normal"/>
    <w:link w:val="Tiu1"/>
    <w:pPr>
      <w:spacing w:line="185" w:lineRule="auto"/>
      <w:jc w:val="right"/>
      <w:outlineLvl w:val="0"/>
    </w:pPr>
    <w:rPr>
      <w:rFonts w:ascii="Arial" w:eastAsia="Arial" w:hAnsi="Arial" w:cs="Arial"/>
      <w:color w:val="C33F57"/>
      <w:sz w:val="30"/>
      <w:szCs w:val="30"/>
    </w:rPr>
  </w:style>
  <w:style w:type="paragraph" w:customStyle="1" w:styleId="Chthchbng0">
    <w:name w:val="Chú thích bảng"/>
    <w:basedOn w:val="Normal"/>
    <w:link w:val="Chthchbng"/>
    <w:rPr>
      <w:rFonts w:ascii="Times New Roman" w:eastAsia="Times New Roman" w:hAnsi="Times New Roman" w:cs="Times New Roman"/>
      <w:i/>
      <w:iCs/>
      <w:sz w:val="22"/>
      <w:szCs w:val="22"/>
    </w:rPr>
  </w:style>
  <w:style w:type="paragraph" w:customStyle="1" w:styleId="Mclc0">
    <w:name w:val="Mục lục"/>
    <w:basedOn w:val="Normal"/>
    <w:link w:val="Mclc"/>
    <w:pPr>
      <w:spacing w:line="322" w:lineRule="auto"/>
      <w:ind w:firstLine="110"/>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317" w:lineRule="auto"/>
      <w:jc w:val="center"/>
    </w:pPr>
    <w:rPr>
      <w:rFonts w:ascii="Tahoma" w:eastAsia="Tahoma" w:hAnsi="Tahoma" w:cs="Tahoma"/>
      <w:color w:val="C33F57"/>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lpE/LHio9WUvyhyXEBegqXohuw==">CgMxLjAyCGguZ2pkZ3hzOAByITFLTHFlNjhibkJyNXRxbXZVUi0ybzFqVVZScFBFQTBZVw==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Duc Quan</dc:creator>
  <cp:lastModifiedBy>Nguyen Duc Quan</cp:lastModifiedBy>
  <cp:revision>3</cp:revision>
  <dcterms:created xsi:type="dcterms:W3CDTF">2024-04-03T03:52:00Z</dcterms:created>
  <dcterms:modified xsi:type="dcterms:W3CDTF">2024-04-03T10:49:00Z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9f2cac856b3e347fe045011b1b8d34df34bd12df5244d30cb59d5751339931ab</vt:lpwstr>
  </property>
</Properties>
</file>