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5F1E" w14:textId="77777777" w:rsidR="00005F0E" w:rsidRPr="00A962EF" w:rsidRDefault="003D7EFD" w:rsidP="003D7EFD">
      <w:pPr>
        <w:pBdr>
          <w:top w:val="nil"/>
          <w:left w:val="nil"/>
          <w:bottom w:val="nil"/>
          <w:right w:val="nil"/>
          <w:between w:val="nil"/>
        </w:pBdr>
        <w:tabs>
          <w:tab w:val="left" w:pos="432"/>
          <w:tab w:val="left" w:pos="4495"/>
        </w:tabs>
        <w:spacing w:after="120" w:line="360" w:lineRule="auto"/>
        <w:rPr>
          <w:rFonts w:ascii="Arial" w:eastAsia="Arial" w:hAnsi="Arial" w:cs="Arial"/>
          <w:b/>
          <w:color w:val="010000"/>
          <w:sz w:val="20"/>
          <w:szCs w:val="20"/>
        </w:rPr>
      </w:pPr>
      <w:r w:rsidRPr="00A962EF">
        <w:rPr>
          <w:rFonts w:ascii="Arial" w:hAnsi="Arial" w:cs="Arial"/>
          <w:b/>
          <w:color w:val="010000"/>
          <w:sz w:val="20"/>
        </w:rPr>
        <w:t>HGM: Annual General Mandate 2024</w:t>
      </w:r>
    </w:p>
    <w:p w14:paraId="7C9AD417" w14:textId="77777777" w:rsidR="00005F0E" w:rsidRPr="00A962EF" w:rsidRDefault="003D7EFD" w:rsidP="003D7EFD">
      <w:pPr>
        <w:pBdr>
          <w:top w:val="nil"/>
          <w:left w:val="nil"/>
          <w:bottom w:val="nil"/>
          <w:right w:val="nil"/>
          <w:between w:val="nil"/>
        </w:pBdr>
        <w:tabs>
          <w:tab w:val="left" w:pos="432"/>
          <w:tab w:val="left" w:pos="4495"/>
        </w:tabs>
        <w:spacing w:after="120" w:line="360" w:lineRule="auto"/>
        <w:rPr>
          <w:rFonts w:ascii="Arial" w:eastAsia="Arial" w:hAnsi="Arial" w:cs="Arial"/>
          <w:color w:val="010000"/>
          <w:sz w:val="20"/>
          <w:szCs w:val="20"/>
        </w:rPr>
      </w:pPr>
      <w:r w:rsidRPr="00A962EF">
        <w:rPr>
          <w:rFonts w:ascii="Arial" w:hAnsi="Arial" w:cs="Arial"/>
          <w:color w:val="010000"/>
          <w:sz w:val="20"/>
        </w:rPr>
        <w:t xml:space="preserve">On March 28, 2024, Ha </w:t>
      </w:r>
      <w:proofErr w:type="spellStart"/>
      <w:r w:rsidRPr="00A962EF">
        <w:rPr>
          <w:rFonts w:ascii="Arial" w:hAnsi="Arial" w:cs="Arial"/>
          <w:color w:val="010000"/>
          <w:sz w:val="20"/>
        </w:rPr>
        <w:t>Giang</w:t>
      </w:r>
      <w:proofErr w:type="spellEnd"/>
      <w:r w:rsidRPr="00A962EF">
        <w:rPr>
          <w:rFonts w:ascii="Arial" w:hAnsi="Arial" w:cs="Arial"/>
          <w:color w:val="010000"/>
          <w:sz w:val="20"/>
        </w:rPr>
        <w:t xml:space="preserve"> Mineral and Mechanics JSC announced General Mandate No. 01/NQ-DHDCD as follows:</w:t>
      </w:r>
    </w:p>
    <w:p w14:paraId="5AC7808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1: Approve the Report of the Board of Directors on production and business results in 2023, and production, business and investment plan for 2024.</w:t>
      </w:r>
    </w:p>
    <w:p w14:paraId="329A6C6C" w14:textId="77777777" w:rsidR="00005F0E" w:rsidRPr="00A962EF" w:rsidRDefault="003D7EFD" w:rsidP="003D7EF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heading=h.gjdgxs"/>
      <w:bookmarkEnd w:id="0"/>
      <w:r w:rsidRPr="00A962EF">
        <w:rPr>
          <w:rFonts w:ascii="Arial" w:hAnsi="Arial" w:cs="Arial"/>
          <w:color w:val="010000"/>
          <w:sz w:val="20"/>
        </w:rPr>
        <w:t>Production and business results in 2023:</w:t>
      </w:r>
    </w:p>
    <w:tbl>
      <w:tblPr>
        <w:tblStyle w:val="a"/>
        <w:tblW w:w="5000" w:type="pct"/>
        <w:tblLook w:val="0000" w:firstRow="0" w:lastRow="0" w:firstColumn="0" w:lastColumn="0" w:noHBand="0" w:noVBand="0"/>
      </w:tblPr>
      <w:tblGrid>
        <w:gridCol w:w="539"/>
        <w:gridCol w:w="3133"/>
        <w:gridCol w:w="902"/>
        <w:gridCol w:w="907"/>
        <w:gridCol w:w="1050"/>
        <w:gridCol w:w="1289"/>
        <w:gridCol w:w="1197"/>
      </w:tblGrid>
      <w:tr w:rsidR="00005F0E" w:rsidRPr="00A962EF" w14:paraId="078ABEC9" w14:textId="77777777" w:rsidTr="003D7EFD">
        <w:tc>
          <w:tcPr>
            <w:tcW w:w="299" w:type="pct"/>
            <w:vMerge w:val="restart"/>
            <w:tcBorders>
              <w:top w:val="single" w:sz="4" w:space="0" w:color="000000"/>
              <w:left w:val="single" w:sz="4" w:space="0" w:color="000000"/>
            </w:tcBorders>
            <w:shd w:val="clear" w:color="auto" w:fill="auto"/>
            <w:tcMar>
              <w:top w:w="0" w:type="dxa"/>
              <w:bottom w:w="0" w:type="dxa"/>
            </w:tcMar>
            <w:vAlign w:val="center"/>
          </w:tcPr>
          <w:p w14:paraId="693E399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No.</w:t>
            </w:r>
          </w:p>
        </w:tc>
        <w:tc>
          <w:tcPr>
            <w:tcW w:w="1737" w:type="pct"/>
            <w:vMerge w:val="restart"/>
            <w:tcBorders>
              <w:top w:val="single" w:sz="4" w:space="0" w:color="000000"/>
              <w:left w:val="single" w:sz="4" w:space="0" w:color="000000"/>
            </w:tcBorders>
            <w:shd w:val="clear" w:color="auto" w:fill="auto"/>
            <w:tcMar>
              <w:top w:w="0" w:type="dxa"/>
              <w:bottom w:w="0" w:type="dxa"/>
            </w:tcMar>
            <w:vAlign w:val="center"/>
          </w:tcPr>
          <w:p w14:paraId="1334EF5D"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Target</w:t>
            </w:r>
          </w:p>
        </w:tc>
        <w:tc>
          <w:tcPr>
            <w:tcW w:w="500" w:type="pct"/>
            <w:vMerge w:val="restart"/>
            <w:tcBorders>
              <w:top w:val="single" w:sz="4" w:space="0" w:color="000000"/>
              <w:left w:val="single" w:sz="4" w:space="0" w:color="000000"/>
            </w:tcBorders>
            <w:shd w:val="clear" w:color="auto" w:fill="auto"/>
            <w:tcMar>
              <w:top w:w="0" w:type="dxa"/>
              <w:bottom w:w="0" w:type="dxa"/>
            </w:tcMar>
            <w:vAlign w:val="center"/>
          </w:tcPr>
          <w:p w14:paraId="70CF8685"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Unit</w:t>
            </w:r>
          </w:p>
        </w:tc>
        <w:tc>
          <w:tcPr>
            <w:tcW w:w="1085" w:type="pct"/>
            <w:gridSpan w:val="2"/>
            <w:vMerge w:val="restart"/>
            <w:tcBorders>
              <w:top w:val="single" w:sz="4" w:space="0" w:color="000000"/>
              <w:left w:val="single" w:sz="4" w:space="0" w:color="000000"/>
            </w:tcBorders>
            <w:shd w:val="clear" w:color="auto" w:fill="auto"/>
            <w:tcMar>
              <w:top w:w="0" w:type="dxa"/>
              <w:bottom w:w="0" w:type="dxa"/>
            </w:tcMar>
            <w:vAlign w:val="center"/>
          </w:tcPr>
          <w:p w14:paraId="64687DF2"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2023</w:t>
            </w:r>
          </w:p>
        </w:tc>
        <w:tc>
          <w:tcPr>
            <w:tcW w:w="137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B4A0D5"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Compare Results (%)</w:t>
            </w:r>
          </w:p>
        </w:tc>
      </w:tr>
      <w:tr w:rsidR="00005F0E" w:rsidRPr="00A962EF" w14:paraId="703A778A" w14:textId="77777777" w:rsidTr="003D7EFD">
        <w:trPr>
          <w:trHeight w:val="465"/>
        </w:trPr>
        <w:tc>
          <w:tcPr>
            <w:tcW w:w="299" w:type="pct"/>
            <w:vMerge/>
            <w:tcBorders>
              <w:top w:val="single" w:sz="4" w:space="0" w:color="000000"/>
              <w:left w:val="single" w:sz="4" w:space="0" w:color="000000"/>
            </w:tcBorders>
            <w:shd w:val="clear" w:color="auto" w:fill="auto"/>
            <w:tcMar>
              <w:top w:w="0" w:type="dxa"/>
              <w:bottom w:w="0" w:type="dxa"/>
            </w:tcMar>
            <w:vAlign w:val="center"/>
          </w:tcPr>
          <w:p w14:paraId="70C5C95B"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1737" w:type="pct"/>
            <w:vMerge/>
            <w:tcBorders>
              <w:top w:val="single" w:sz="4" w:space="0" w:color="000000"/>
              <w:left w:val="single" w:sz="4" w:space="0" w:color="000000"/>
            </w:tcBorders>
            <w:shd w:val="clear" w:color="auto" w:fill="auto"/>
            <w:tcMar>
              <w:top w:w="0" w:type="dxa"/>
              <w:bottom w:w="0" w:type="dxa"/>
            </w:tcMar>
            <w:vAlign w:val="center"/>
          </w:tcPr>
          <w:p w14:paraId="6ECAABEE"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tcBorders>
              <w:top w:val="single" w:sz="4" w:space="0" w:color="000000"/>
              <w:left w:val="single" w:sz="4" w:space="0" w:color="000000"/>
            </w:tcBorders>
            <w:shd w:val="clear" w:color="auto" w:fill="auto"/>
            <w:tcMar>
              <w:top w:w="0" w:type="dxa"/>
              <w:bottom w:w="0" w:type="dxa"/>
            </w:tcMar>
            <w:vAlign w:val="center"/>
          </w:tcPr>
          <w:p w14:paraId="7032BDAC"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1085" w:type="pct"/>
            <w:gridSpan w:val="2"/>
            <w:vMerge/>
            <w:tcBorders>
              <w:top w:val="single" w:sz="4" w:space="0" w:color="000000"/>
              <w:left w:val="single" w:sz="4" w:space="0" w:color="000000"/>
            </w:tcBorders>
            <w:shd w:val="clear" w:color="auto" w:fill="auto"/>
            <w:tcMar>
              <w:top w:w="0" w:type="dxa"/>
              <w:bottom w:w="0" w:type="dxa"/>
            </w:tcMar>
            <w:vAlign w:val="center"/>
          </w:tcPr>
          <w:p w14:paraId="65A36532"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715" w:type="pct"/>
            <w:vMerge w:val="restart"/>
            <w:tcBorders>
              <w:top w:val="single" w:sz="4" w:space="0" w:color="000000"/>
              <w:left w:val="single" w:sz="4" w:space="0" w:color="000000"/>
            </w:tcBorders>
            <w:shd w:val="clear" w:color="auto" w:fill="auto"/>
            <w:tcMar>
              <w:top w:w="0" w:type="dxa"/>
              <w:bottom w:w="0" w:type="dxa"/>
            </w:tcMar>
            <w:vAlign w:val="center"/>
          </w:tcPr>
          <w:p w14:paraId="486E16C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 the year Plan</w:t>
            </w:r>
          </w:p>
        </w:tc>
        <w:tc>
          <w:tcPr>
            <w:tcW w:w="66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6D253D"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 the Results of the same period of 2022</w:t>
            </w:r>
          </w:p>
        </w:tc>
      </w:tr>
      <w:tr w:rsidR="00005F0E" w:rsidRPr="00A962EF" w14:paraId="40D0E861" w14:textId="77777777" w:rsidTr="003D7EFD">
        <w:tc>
          <w:tcPr>
            <w:tcW w:w="299" w:type="pct"/>
            <w:vMerge/>
            <w:tcBorders>
              <w:top w:val="single" w:sz="4" w:space="0" w:color="000000"/>
              <w:left w:val="single" w:sz="4" w:space="0" w:color="000000"/>
            </w:tcBorders>
            <w:shd w:val="clear" w:color="auto" w:fill="auto"/>
            <w:tcMar>
              <w:top w:w="0" w:type="dxa"/>
              <w:bottom w:w="0" w:type="dxa"/>
            </w:tcMar>
            <w:vAlign w:val="center"/>
          </w:tcPr>
          <w:p w14:paraId="0E08D5EF"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1737" w:type="pct"/>
            <w:vMerge/>
            <w:tcBorders>
              <w:top w:val="single" w:sz="4" w:space="0" w:color="000000"/>
              <w:left w:val="single" w:sz="4" w:space="0" w:color="000000"/>
            </w:tcBorders>
            <w:shd w:val="clear" w:color="auto" w:fill="auto"/>
            <w:tcMar>
              <w:top w:w="0" w:type="dxa"/>
              <w:bottom w:w="0" w:type="dxa"/>
            </w:tcMar>
            <w:vAlign w:val="center"/>
          </w:tcPr>
          <w:p w14:paraId="0403DB6A"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tcBorders>
              <w:top w:val="single" w:sz="4" w:space="0" w:color="000000"/>
              <w:left w:val="single" w:sz="4" w:space="0" w:color="000000"/>
            </w:tcBorders>
            <w:shd w:val="clear" w:color="auto" w:fill="auto"/>
            <w:tcMar>
              <w:top w:w="0" w:type="dxa"/>
              <w:bottom w:w="0" w:type="dxa"/>
            </w:tcMar>
            <w:vAlign w:val="center"/>
          </w:tcPr>
          <w:p w14:paraId="23051DB8"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503" w:type="pct"/>
            <w:tcBorders>
              <w:top w:val="single" w:sz="4" w:space="0" w:color="000000"/>
              <w:left w:val="single" w:sz="4" w:space="0" w:color="000000"/>
            </w:tcBorders>
            <w:shd w:val="clear" w:color="auto" w:fill="auto"/>
            <w:tcMar>
              <w:top w:w="0" w:type="dxa"/>
              <w:bottom w:w="0" w:type="dxa"/>
            </w:tcMar>
            <w:vAlign w:val="center"/>
          </w:tcPr>
          <w:p w14:paraId="1651D5C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Plan</w:t>
            </w:r>
          </w:p>
        </w:tc>
        <w:tc>
          <w:tcPr>
            <w:tcW w:w="582" w:type="pct"/>
            <w:tcBorders>
              <w:top w:val="single" w:sz="4" w:space="0" w:color="000000"/>
              <w:left w:val="single" w:sz="4" w:space="0" w:color="000000"/>
            </w:tcBorders>
            <w:shd w:val="clear" w:color="auto" w:fill="auto"/>
            <w:tcMar>
              <w:top w:w="0" w:type="dxa"/>
              <w:bottom w:w="0" w:type="dxa"/>
            </w:tcMar>
            <w:vAlign w:val="center"/>
          </w:tcPr>
          <w:p w14:paraId="5C82835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Results</w:t>
            </w:r>
          </w:p>
        </w:tc>
        <w:tc>
          <w:tcPr>
            <w:tcW w:w="715" w:type="pct"/>
            <w:vMerge/>
            <w:tcBorders>
              <w:top w:val="single" w:sz="4" w:space="0" w:color="000000"/>
              <w:left w:val="single" w:sz="4" w:space="0" w:color="000000"/>
            </w:tcBorders>
            <w:shd w:val="clear" w:color="auto" w:fill="auto"/>
            <w:tcMar>
              <w:top w:w="0" w:type="dxa"/>
              <w:bottom w:w="0" w:type="dxa"/>
            </w:tcMar>
            <w:vAlign w:val="center"/>
          </w:tcPr>
          <w:p w14:paraId="15F570DB"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c>
          <w:tcPr>
            <w:tcW w:w="66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F749A5" w14:textId="77777777" w:rsidR="00005F0E" w:rsidRPr="00A962EF" w:rsidRDefault="00005F0E" w:rsidP="003D7EFD">
            <w:pPr>
              <w:pBdr>
                <w:top w:val="nil"/>
                <w:left w:val="nil"/>
                <w:bottom w:val="nil"/>
                <w:right w:val="nil"/>
                <w:between w:val="nil"/>
              </w:pBdr>
              <w:spacing w:after="120" w:line="360" w:lineRule="auto"/>
              <w:rPr>
                <w:rFonts w:ascii="Arial" w:eastAsia="Arial" w:hAnsi="Arial" w:cs="Arial"/>
                <w:color w:val="010000"/>
                <w:sz w:val="20"/>
                <w:szCs w:val="20"/>
              </w:rPr>
            </w:pPr>
          </w:p>
        </w:tc>
      </w:tr>
      <w:tr w:rsidR="00005F0E" w:rsidRPr="00A962EF" w14:paraId="7CDC8902"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296F95E0"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w:t>
            </w:r>
          </w:p>
        </w:tc>
        <w:tc>
          <w:tcPr>
            <w:tcW w:w="1737" w:type="pct"/>
            <w:tcBorders>
              <w:top w:val="single" w:sz="4" w:space="0" w:color="000000"/>
              <w:left w:val="single" w:sz="4" w:space="0" w:color="000000"/>
            </w:tcBorders>
            <w:shd w:val="clear" w:color="auto" w:fill="auto"/>
            <w:tcMar>
              <w:top w:w="0" w:type="dxa"/>
              <w:bottom w:w="0" w:type="dxa"/>
            </w:tcMar>
            <w:vAlign w:val="center"/>
          </w:tcPr>
          <w:p w14:paraId="38D5748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Revenue from goods sale</w:t>
            </w:r>
          </w:p>
        </w:tc>
        <w:tc>
          <w:tcPr>
            <w:tcW w:w="500" w:type="pct"/>
            <w:tcBorders>
              <w:top w:val="single" w:sz="4" w:space="0" w:color="000000"/>
              <w:left w:val="single" w:sz="4" w:space="0" w:color="000000"/>
            </w:tcBorders>
            <w:shd w:val="clear" w:color="auto" w:fill="auto"/>
            <w:tcMar>
              <w:top w:w="0" w:type="dxa"/>
              <w:bottom w:w="0" w:type="dxa"/>
            </w:tcMar>
            <w:vAlign w:val="center"/>
          </w:tcPr>
          <w:p w14:paraId="6FE4948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Billion VND</w:t>
            </w:r>
          </w:p>
        </w:tc>
        <w:tc>
          <w:tcPr>
            <w:tcW w:w="503" w:type="pct"/>
            <w:tcBorders>
              <w:top w:val="single" w:sz="4" w:space="0" w:color="000000"/>
              <w:left w:val="single" w:sz="4" w:space="0" w:color="000000"/>
            </w:tcBorders>
            <w:shd w:val="clear" w:color="auto" w:fill="auto"/>
            <w:tcMar>
              <w:top w:w="0" w:type="dxa"/>
              <w:bottom w:w="0" w:type="dxa"/>
            </w:tcMar>
            <w:vAlign w:val="center"/>
          </w:tcPr>
          <w:p w14:paraId="2F22899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171</w:t>
            </w:r>
          </w:p>
        </w:tc>
        <w:tc>
          <w:tcPr>
            <w:tcW w:w="582" w:type="pct"/>
            <w:tcBorders>
              <w:top w:val="single" w:sz="4" w:space="0" w:color="000000"/>
              <w:left w:val="single" w:sz="4" w:space="0" w:color="000000"/>
            </w:tcBorders>
            <w:shd w:val="clear" w:color="auto" w:fill="auto"/>
            <w:tcMar>
              <w:top w:w="0" w:type="dxa"/>
              <w:bottom w:w="0" w:type="dxa"/>
            </w:tcMar>
            <w:vAlign w:val="center"/>
          </w:tcPr>
          <w:p w14:paraId="5B05F0A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175.67</w:t>
            </w:r>
          </w:p>
        </w:tc>
        <w:tc>
          <w:tcPr>
            <w:tcW w:w="715" w:type="pct"/>
            <w:tcBorders>
              <w:top w:val="single" w:sz="4" w:space="0" w:color="000000"/>
              <w:left w:val="single" w:sz="4" w:space="0" w:color="000000"/>
            </w:tcBorders>
            <w:shd w:val="clear" w:color="auto" w:fill="auto"/>
            <w:tcMar>
              <w:top w:w="0" w:type="dxa"/>
              <w:bottom w:w="0" w:type="dxa"/>
            </w:tcMar>
            <w:vAlign w:val="center"/>
          </w:tcPr>
          <w:p w14:paraId="0DEEEFDF"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102.75</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74FB6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87.42</w:t>
            </w:r>
          </w:p>
        </w:tc>
      </w:tr>
      <w:tr w:rsidR="00005F0E" w:rsidRPr="00A962EF" w14:paraId="3C23A59F"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33810A9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2</w:t>
            </w:r>
          </w:p>
        </w:tc>
        <w:tc>
          <w:tcPr>
            <w:tcW w:w="1737" w:type="pct"/>
            <w:tcBorders>
              <w:top w:val="single" w:sz="4" w:space="0" w:color="000000"/>
              <w:left w:val="single" w:sz="4" w:space="0" w:color="000000"/>
            </w:tcBorders>
            <w:shd w:val="clear" w:color="auto" w:fill="auto"/>
            <w:tcMar>
              <w:top w:w="0" w:type="dxa"/>
              <w:bottom w:w="0" w:type="dxa"/>
            </w:tcMar>
            <w:vAlign w:val="center"/>
          </w:tcPr>
          <w:p w14:paraId="787FF5E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Products for consumption</w:t>
            </w:r>
          </w:p>
        </w:tc>
        <w:tc>
          <w:tcPr>
            <w:tcW w:w="500" w:type="pct"/>
            <w:tcBorders>
              <w:top w:val="single" w:sz="4" w:space="0" w:color="000000"/>
              <w:left w:val="single" w:sz="4" w:space="0" w:color="000000"/>
            </w:tcBorders>
            <w:shd w:val="clear" w:color="auto" w:fill="auto"/>
            <w:tcMar>
              <w:top w:w="0" w:type="dxa"/>
              <w:bottom w:w="0" w:type="dxa"/>
            </w:tcMar>
            <w:vAlign w:val="center"/>
          </w:tcPr>
          <w:p w14:paraId="6008AD53"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Ton</w:t>
            </w:r>
          </w:p>
        </w:tc>
        <w:tc>
          <w:tcPr>
            <w:tcW w:w="503" w:type="pct"/>
            <w:tcBorders>
              <w:top w:val="single" w:sz="4" w:space="0" w:color="000000"/>
              <w:left w:val="single" w:sz="4" w:space="0" w:color="000000"/>
            </w:tcBorders>
            <w:shd w:val="clear" w:color="auto" w:fill="auto"/>
            <w:tcMar>
              <w:top w:w="0" w:type="dxa"/>
              <w:bottom w:w="0" w:type="dxa"/>
            </w:tcMar>
            <w:vAlign w:val="center"/>
          </w:tcPr>
          <w:p w14:paraId="47EE3B45"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650</w:t>
            </w:r>
          </w:p>
        </w:tc>
        <w:tc>
          <w:tcPr>
            <w:tcW w:w="582" w:type="pct"/>
            <w:tcBorders>
              <w:top w:val="single" w:sz="4" w:space="0" w:color="000000"/>
              <w:left w:val="single" w:sz="4" w:space="0" w:color="000000"/>
            </w:tcBorders>
            <w:shd w:val="clear" w:color="auto" w:fill="auto"/>
            <w:tcMar>
              <w:top w:w="0" w:type="dxa"/>
              <w:bottom w:w="0" w:type="dxa"/>
            </w:tcMar>
            <w:vAlign w:val="center"/>
          </w:tcPr>
          <w:p w14:paraId="1964920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657.29</w:t>
            </w:r>
          </w:p>
        </w:tc>
        <w:tc>
          <w:tcPr>
            <w:tcW w:w="715" w:type="pct"/>
            <w:tcBorders>
              <w:top w:val="single" w:sz="4" w:space="0" w:color="000000"/>
              <w:left w:val="single" w:sz="4" w:space="0" w:color="000000"/>
            </w:tcBorders>
            <w:shd w:val="clear" w:color="auto" w:fill="auto"/>
            <w:tcMar>
              <w:top w:w="0" w:type="dxa"/>
              <w:bottom w:w="0" w:type="dxa"/>
            </w:tcMar>
            <w:vAlign w:val="center"/>
          </w:tcPr>
          <w:p w14:paraId="424390E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101.12</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19DC42"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93.82</w:t>
            </w:r>
          </w:p>
        </w:tc>
      </w:tr>
      <w:tr w:rsidR="00005F0E" w:rsidRPr="00A962EF" w14:paraId="5C17A430"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3E958FD7"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3</w:t>
            </w:r>
          </w:p>
        </w:tc>
        <w:tc>
          <w:tcPr>
            <w:tcW w:w="1737" w:type="pct"/>
            <w:tcBorders>
              <w:top w:val="single" w:sz="4" w:space="0" w:color="000000"/>
              <w:left w:val="single" w:sz="4" w:space="0" w:color="000000"/>
            </w:tcBorders>
            <w:shd w:val="clear" w:color="auto" w:fill="auto"/>
            <w:tcMar>
              <w:top w:w="0" w:type="dxa"/>
              <w:bottom w:w="0" w:type="dxa"/>
            </w:tcMar>
            <w:vAlign w:val="center"/>
          </w:tcPr>
          <w:p w14:paraId="0ABC0519"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Metal production</w:t>
            </w:r>
          </w:p>
        </w:tc>
        <w:tc>
          <w:tcPr>
            <w:tcW w:w="500" w:type="pct"/>
            <w:tcBorders>
              <w:top w:val="single" w:sz="4" w:space="0" w:color="000000"/>
              <w:left w:val="single" w:sz="4" w:space="0" w:color="000000"/>
            </w:tcBorders>
            <w:shd w:val="clear" w:color="auto" w:fill="auto"/>
            <w:tcMar>
              <w:top w:w="0" w:type="dxa"/>
              <w:bottom w:w="0" w:type="dxa"/>
            </w:tcMar>
            <w:vAlign w:val="center"/>
          </w:tcPr>
          <w:p w14:paraId="6A1C4953"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Ton</w:t>
            </w:r>
          </w:p>
        </w:tc>
        <w:tc>
          <w:tcPr>
            <w:tcW w:w="503" w:type="pct"/>
            <w:tcBorders>
              <w:top w:val="single" w:sz="4" w:space="0" w:color="000000"/>
              <w:left w:val="single" w:sz="4" w:space="0" w:color="000000"/>
            </w:tcBorders>
            <w:shd w:val="clear" w:color="auto" w:fill="auto"/>
            <w:tcMar>
              <w:top w:w="0" w:type="dxa"/>
              <w:bottom w:w="0" w:type="dxa"/>
            </w:tcMar>
            <w:vAlign w:val="center"/>
          </w:tcPr>
          <w:p w14:paraId="5A35ECA9"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500</w:t>
            </w:r>
          </w:p>
        </w:tc>
        <w:tc>
          <w:tcPr>
            <w:tcW w:w="582" w:type="pct"/>
            <w:tcBorders>
              <w:top w:val="single" w:sz="4" w:space="0" w:color="000000"/>
              <w:left w:val="single" w:sz="4" w:space="0" w:color="000000"/>
            </w:tcBorders>
            <w:shd w:val="clear" w:color="auto" w:fill="auto"/>
            <w:tcMar>
              <w:top w:w="0" w:type="dxa"/>
              <w:bottom w:w="0" w:type="dxa"/>
            </w:tcMar>
            <w:vAlign w:val="center"/>
          </w:tcPr>
          <w:p w14:paraId="61C504B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622.74</w:t>
            </w:r>
          </w:p>
        </w:tc>
        <w:tc>
          <w:tcPr>
            <w:tcW w:w="715" w:type="pct"/>
            <w:tcBorders>
              <w:top w:val="single" w:sz="4" w:space="0" w:color="000000"/>
              <w:left w:val="single" w:sz="4" w:space="0" w:color="000000"/>
            </w:tcBorders>
            <w:shd w:val="clear" w:color="auto" w:fill="auto"/>
            <w:tcMar>
              <w:top w:w="0" w:type="dxa"/>
              <w:bottom w:w="0" w:type="dxa"/>
            </w:tcMar>
            <w:vAlign w:val="center"/>
          </w:tcPr>
          <w:p w14:paraId="5E53650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124.55</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56C6D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87.49</w:t>
            </w:r>
          </w:p>
        </w:tc>
      </w:tr>
      <w:tr w:rsidR="00005F0E" w:rsidRPr="00A962EF" w14:paraId="0194643F"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12029D1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4</w:t>
            </w:r>
          </w:p>
        </w:tc>
        <w:tc>
          <w:tcPr>
            <w:tcW w:w="1737" w:type="pct"/>
            <w:tcBorders>
              <w:top w:val="single" w:sz="4" w:space="0" w:color="000000"/>
              <w:left w:val="single" w:sz="4" w:space="0" w:color="000000"/>
            </w:tcBorders>
            <w:shd w:val="clear" w:color="auto" w:fill="auto"/>
            <w:tcMar>
              <w:top w:w="0" w:type="dxa"/>
              <w:bottom w:w="0" w:type="dxa"/>
            </w:tcMar>
            <w:vAlign w:val="center"/>
          </w:tcPr>
          <w:p w14:paraId="0951DC38"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Exploiting raw materials</w:t>
            </w:r>
          </w:p>
        </w:tc>
        <w:tc>
          <w:tcPr>
            <w:tcW w:w="500" w:type="pct"/>
            <w:tcBorders>
              <w:top w:val="single" w:sz="4" w:space="0" w:color="000000"/>
              <w:left w:val="single" w:sz="4" w:space="0" w:color="000000"/>
            </w:tcBorders>
            <w:shd w:val="clear" w:color="auto" w:fill="auto"/>
            <w:tcMar>
              <w:top w:w="0" w:type="dxa"/>
              <w:bottom w:w="0" w:type="dxa"/>
            </w:tcMar>
            <w:vAlign w:val="center"/>
          </w:tcPr>
          <w:p w14:paraId="247A07C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Ton</w:t>
            </w:r>
          </w:p>
        </w:tc>
        <w:tc>
          <w:tcPr>
            <w:tcW w:w="503" w:type="pct"/>
            <w:tcBorders>
              <w:top w:val="single" w:sz="4" w:space="0" w:color="000000"/>
              <w:left w:val="single" w:sz="4" w:space="0" w:color="000000"/>
            </w:tcBorders>
            <w:shd w:val="clear" w:color="auto" w:fill="auto"/>
            <w:tcMar>
              <w:top w:w="0" w:type="dxa"/>
              <w:bottom w:w="0" w:type="dxa"/>
            </w:tcMar>
            <w:vAlign w:val="center"/>
          </w:tcPr>
          <w:p w14:paraId="7889BA1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5,000</w:t>
            </w:r>
          </w:p>
        </w:tc>
        <w:tc>
          <w:tcPr>
            <w:tcW w:w="582" w:type="pct"/>
            <w:tcBorders>
              <w:top w:val="single" w:sz="4" w:space="0" w:color="000000"/>
              <w:left w:val="single" w:sz="4" w:space="0" w:color="000000"/>
            </w:tcBorders>
            <w:shd w:val="clear" w:color="auto" w:fill="auto"/>
            <w:tcMar>
              <w:top w:w="0" w:type="dxa"/>
              <w:bottom w:w="0" w:type="dxa"/>
            </w:tcMar>
            <w:vAlign w:val="center"/>
          </w:tcPr>
          <w:p w14:paraId="56B582F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5,169.36</w:t>
            </w:r>
          </w:p>
        </w:tc>
        <w:tc>
          <w:tcPr>
            <w:tcW w:w="715" w:type="pct"/>
            <w:tcBorders>
              <w:top w:val="single" w:sz="4" w:space="0" w:color="000000"/>
              <w:left w:val="single" w:sz="4" w:space="0" w:color="000000"/>
            </w:tcBorders>
            <w:shd w:val="clear" w:color="auto" w:fill="auto"/>
            <w:tcMar>
              <w:top w:w="0" w:type="dxa"/>
              <w:bottom w:w="0" w:type="dxa"/>
            </w:tcMar>
            <w:vAlign w:val="center"/>
          </w:tcPr>
          <w:p w14:paraId="0C6DF99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103.39</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0D4170"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160.84</w:t>
            </w:r>
          </w:p>
        </w:tc>
      </w:tr>
      <w:tr w:rsidR="00005F0E" w:rsidRPr="00A962EF" w14:paraId="46FED464"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34D6706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5</w:t>
            </w:r>
          </w:p>
        </w:tc>
        <w:tc>
          <w:tcPr>
            <w:tcW w:w="1737" w:type="pct"/>
            <w:tcBorders>
              <w:top w:val="single" w:sz="4" w:space="0" w:color="000000"/>
              <w:left w:val="single" w:sz="4" w:space="0" w:color="000000"/>
            </w:tcBorders>
            <w:shd w:val="clear" w:color="auto" w:fill="auto"/>
            <w:tcMar>
              <w:top w:w="0" w:type="dxa"/>
              <w:bottom w:w="0" w:type="dxa"/>
            </w:tcMar>
            <w:vAlign w:val="center"/>
          </w:tcPr>
          <w:p w14:paraId="21A3A72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Employee</w:t>
            </w:r>
          </w:p>
        </w:tc>
        <w:tc>
          <w:tcPr>
            <w:tcW w:w="500" w:type="pct"/>
            <w:tcBorders>
              <w:top w:val="single" w:sz="4" w:space="0" w:color="000000"/>
              <w:left w:val="single" w:sz="4" w:space="0" w:color="000000"/>
            </w:tcBorders>
            <w:shd w:val="clear" w:color="auto" w:fill="auto"/>
            <w:tcMar>
              <w:top w:w="0" w:type="dxa"/>
              <w:bottom w:w="0" w:type="dxa"/>
            </w:tcMar>
            <w:vAlign w:val="center"/>
          </w:tcPr>
          <w:p w14:paraId="1E50E9FD"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Person</w:t>
            </w:r>
          </w:p>
        </w:tc>
        <w:tc>
          <w:tcPr>
            <w:tcW w:w="503" w:type="pct"/>
            <w:tcBorders>
              <w:top w:val="single" w:sz="4" w:space="0" w:color="000000"/>
              <w:left w:val="single" w:sz="4" w:space="0" w:color="000000"/>
            </w:tcBorders>
            <w:shd w:val="clear" w:color="auto" w:fill="auto"/>
            <w:tcMar>
              <w:top w:w="0" w:type="dxa"/>
              <w:bottom w:w="0" w:type="dxa"/>
            </w:tcMar>
            <w:vAlign w:val="center"/>
          </w:tcPr>
          <w:p w14:paraId="212D4413"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144</w:t>
            </w:r>
          </w:p>
        </w:tc>
        <w:tc>
          <w:tcPr>
            <w:tcW w:w="582" w:type="pct"/>
            <w:tcBorders>
              <w:top w:val="single" w:sz="4" w:space="0" w:color="000000"/>
              <w:left w:val="single" w:sz="4" w:space="0" w:color="000000"/>
            </w:tcBorders>
            <w:shd w:val="clear" w:color="auto" w:fill="auto"/>
            <w:tcMar>
              <w:top w:w="0" w:type="dxa"/>
              <w:bottom w:w="0" w:type="dxa"/>
            </w:tcMar>
            <w:vAlign w:val="center"/>
          </w:tcPr>
          <w:p w14:paraId="60994EB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142</w:t>
            </w:r>
          </w:p>
        </w:tc>
        <w:tc>
          <w:tcPr>
            <w:tcW w:w="715" w:type="pct"/>
            <w:tcBorders>
              <w:top w:val="single" w:sz="4" w:space="0" w:color="000000"/>
              <w:left w:val="single" w:sz="4" w:space="0" w:color="000000"/>
            </w:tcBorders>
            <w:shd w:val="clear" w:color="auto" w:fill="auto"/>
            <w:tcMar>
              <w:top w:w="0" w:type="dxa"/>
              <w:bottom w:w="0" w:type="dxa"/>
            </w:tcMar>
            <w:vAlign w:val="center"/>
          </w:tcPr>
          <w:p w14:paraId="746E122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98.61</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BAEC0F"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98.61</w:t>
            </w:r>
          </w:p>
        </w:tc>
      </w:tr>
      <w:tr w:rsidR="00005F0E" w:rsidRPr="00A962EF" w14:paraId="13F0E298"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3926CB1B"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w:t>
            </w:r>
          </w:p>
        </w:tc>
        <w:tc>
          <w:tcPr>
            <w:tcW w:w="1737" w:type="pct"/>
            <w:tcBorders>
              <w:top w:val="single" w:sz="4" w:space="0" w:color="000000"/>
              <w:left w:val="single" w:sz="4" w:space="0" w:color="000000"/>
            </w:tcBorders>
            <w:shd w:val="clear" w:color="auto" w:fill="auto"/>
            <w:tcMar>
              <w:top w:w="0" w:type="dxa"/>
              <w:bottom w:w="0" w:type="dxa"/>
            </w:tcMar>
            <w:vAlign w:val="center"/>
          </w:tcPr>
          <w:p w14:paraId="204AAF4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Average income</w:t>
            </w:r>
          </w:p>
        </w:tc>
        <w:tc>
          <w:tcPr>
            <w:tcW w:w="500" w:type="pct"/>
            <w:tcBorders>
              <w:top w:val="single" w:sz="4" w:space="0" w:color="000000"/>
              <w:left w:val="single" w:sz="4" w:space="0" w:color="000000"/>
            </w:tcBorders>
            <w:shd w:val="clear" w:color="auto" w:fill="auto"/>
            <w:tcMar>
              <w:top w:w="0" w:type="dxa"/>
              <w:bottom w:w="0" w:type="dxa"/>
            </w:tcMar>
            <w:vAlign w:val="center"/>
          </w:tcPr>
          <w:p w14:paraId="6C33739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Million VND</w:t>
            </w:r>
          </w:p>
        </w:tc>
        <w:tc>
          <w:tcPr>
            <w:tcW w:w="503" w:type="pct"/>
            <w:tcBorders>
              <w:top w:val="single" w:sz="4" w:space="0" w:color="000000"/>
              <w:left w:val="single" w:sz="4" w:space="0" w:color="000000"/>
            </w:tcBorders>
            <w:shd w:val="clear" w:color="auto" w:fill="auto"/>
            <w:tcMar>
              <w:top w:w="0" w:type="dxa"/>
              <w:bottom w:w="0" w:type="dxa"/>
            </w:tcMar>
            <w:vAlign w:val="center"/>
          </w:tcPr>
          <w:p w14:paraId="0CE71DB0" w14:textId="77777777" w:rsidR="00005F0E" w:rsidRPr="00A962EF" w:rsidRDefault="00005F0E" w:rsidP="003D7EFD">
            <w:pPr>
              <w:tabs>
                <w:tab w:val="left" w:pos="432"/>
              </w:tabs>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tcBorders>
            <w:shd w:val="clear" w:color="auto" w:fill="auto"/>
            <w:tcMar>
              <w:top w:w="0" w:type="dxa"/>
              <w:bottom w:w="0" w:type="dxa"/>
            </w:tcMar>
            <w:vAlign w:val="center"/>
          </w:tcPr>
          <w:p w14:paraId="196A9FB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17.5</w:t>
            </w:r>
          </w:p>
        </w:tc>
        <w:tc>
          <w:tcPr>
            <w:tcW w:w="715" w:type="pct"/>
            <w:tcBorders>
              <w:top w:val="single" w:sz="4" w:space="0" w:color="000000"/>
              <w:left w:val="single" w:sz="4" w:space="0" w:color="000000"/>
            </w:tcBorders>
            <w:shd w:val="clear" w:color="auto" w:fill="auto"/>
            <w:tcMar>
              <w:top w:w="0" w:type="dxa"/>
              <w:bottom w:w="0" w:type="dxa"/>
            </w:tcMar>
            <w:vAlign w:val="center"/>
          </w:tcPr>
          <w:p w14:paraId="2A7DDA7E" w14:textId="77777777" w:rsidR="00005F0E" w:rsidRPr="00A962EF" w:rsidRDefault="00005F0E" w:rsidP="003D7EFD">
            <w:pPr>
              <w:tabs>
                <w:tab w:val="left" w:pos="432"/>
              </w:tabs>
              <w:spacing w:after="120" w:line="360" w:lineRule="auto"/>
              <w:rPr>
                <w:rFonts w:ascii="Arial" w:eastAsia="Arial" w:hAnsi="Arial" w:cs="Arial"/>
                <w:color w:val="010000"/>
                <w:sz w:val="20"/>
                <w:szCs w:val="20"/>
              </w:rPr>
            </w:pP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33D14A" w14:textId="77777777" w:rsidR="00005F0E" w:rsidRPr="00A962EF" w:rsidRDefault="00005F0E" w:rsidP="003D7EFD">
            <w:pPr>
              <w:tabs>
                <w:tab w:val="left" w:pos="432"/>
              </w:tabs>
              <w:spacing w:after="120" w:line="360" w:lineRule="auto"/>
              <w:rPr>
                <w:rFonts w:ascii="Arial" w:eastAsia="Arial" w:hAnsi="Arial" w:cs="Arial"/>
                <w:color w:val="010000"/>
                <w:sz w:val="20"/>
                <w:szCs w:val="20"/>
              </w:rPr>
            </w:pPr>
          </w:p>
        </w:tc>
      </w:tr>
      <w:tr w:rsidR="00005F0E" w:rsidRPr="00A962EF" w14:paraId="4DC81085"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1B31AB7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7</w:t>
            </w:r>
          </w:p>
        </w:tc>
        <w:tc>
          <w:tcPr>
            <w:tcW w:w="1737" w:type="pct"/>
            <w:tcBorders>
              <w:top w:val="single" w:sz="4" w:space="0" w:color="000000"/>
              <w:left w:val="single" w:sz="4" w:space="0" w:color="000000"/>
            </w:tcBorders>
            <w:shd w:val="clear" w:color="auto" w:fill="auto"/>
            <w:tcMar>
              <w:top w:w="0" w:type="dxa"/>
              <w:bottom w:w="0" w:type="dxa"/>
            </w:tcMar>
            <w:vAlign w:val="center"/>
          </w:tcPr>
          <w:p w14:paraId="5B8C1B05"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Payable to state budget</w:t>
            </w:r>
          </w:p>
        </w:tc>
        <w:tc>
          <w:tcPr>
            <w:tcW w:w="500" w:type="pct"/>
            <w:tcBorders>
              <w:top w:val="single" w:sz="4" w:space="0" w:color="000000"/>
              <w:left w:val="single" w:sz="4" w:space="0" w:color="000000"/>
            </w:tcBorders>
            <w:shd w:val="clear" w:color="auto" w:fill="auto"/>
            <w:tcMar>
              <w:top w:w="0" w:type="dxa"/>
              <w:bottom w:w="0" w:type="dxa"/>
            </w:tcMar>
            <w:vAlign w:val="center"/>
          </w:tcPr>
          <w:p w14:paraId="28F57565"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Billion VND</w:t>
            </w:r>
          </w:p>
        </w:tc>
        <w:tc>
          <w:tcPr>
            <w:tcW w:w="503" w:type="pct"/>
            <w:tcBorders>
              <w:top w:val="single" w:sz="4" w:space="0" w:color="000000"/>
              <w:left w:val="single" w:sz="4" w:space="0" w:color="000000"/>
            </w:tcBorders>
            <w:shd w:val="clear" w:color="auto" w:fill="auto"/>
            <w:tcMar>
              <w:top w:w="0" w:type="dxa"/>
              <w:bottom w:w="0" w:type="dxa"/>
            </w:tcMar>
            <w:vAlign w:val="center"/>
          </w:tcPr>
          <w:p w14:paraId="6BA570B7" w14:textId="77777777" w:rsidR="00005F0E" w:rsidRPr="00A962EF" w:rsidRDefault="00005F0E" w:rsidP="003D7EFD">
            <w:pPr>
              <w:tabs>
                <w:tab w:val="left" w:pos="432"/>
              </w:tabs>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tcBorders>
            <w:shd w:val="clear" w:color="auto" w:fill="auto"/>
            <w:tcMar>
              <w:top w:w="0" w:type="dxa"/>
              <w:bottom w:w="0" w:type="dxa"/>
            </w:tcMar>
            <w:vAlign w:val="center"/>
          </w:tcPr>
          <w:p w14:paraId="44E2123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30.22</w:t>
            </w:r>
          </w:p>
        </w:tc>
        <w:tc>
          <w:tcPr>
            <w:tcW w:w="715" w:type="pct"/>
            <w:tcBorders>
              <w:top w:val="single" w:sz="4" w:space="0" w:color="000000"/>
              <w:left w:val="single" w:sz="4" w:space="0" w:color="000000"/>
            </w:tcBorders>
            <w:shd w:val="clear" w:color="auto" w:fill="auto"/>
            <w:tcMar>
              <w:top w:w="0" w:type="dxa"/>
              <w:bottom w:w="0" w:type="dxa"/>
            </w:tcMar>
            <w:vAlign w:val="center"/>
          </w:tcPr>
          <w:p w14:paraId="2FE0C96E"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100</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9C3C7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61.67</w:t>
            </w:r>
          </w:p>
        </w:tc>
      </w:tr>
      <w:tr w:rsidR="00005F0E" w:rsidRPr="00A962EF" w14:paraId="27813670" w14:textId="77777777" w:rsidTr="003D7EFD">
        <w:tc>
          <w:tcPr>
            <w:tcW w:w="299" w:type="pct"/>
            <w:tcBorders>
              <w:top w:val="single" w:sz="4" w:space="0" w:color="000000"/>
              <w:left w:val="single" w:sz="4" w:space="0" w:color="000000"/>
            </w:tcBorders>
            <w:shd w:val="clear" w:color="auto" w:fill="auto"/>
            <w:tcMar>
              <w:top w:w="0" w:type="dxa"/>
              <w:bottom w:w="0" w:type="dxa"/>
            </w:tcMar>
            <w:vAlign w:val="center"/>
          </w:tcPr>
          <w:p w14:paraId="0F2EAB1E"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8</w:t>
            </w:r>
          </w:p>
        </w:tc>
        <w:tc>
          <w:tcPr>
            <w:tcW w:w="1737" w:type="pct"/>
            <w:tcBorders>
              <w:top w:val="single" w:sz="4" w:space="0" w:color="000000"/>
              <w:left w:val="single" w:sz="4" w:space="0" w:color="000000"/>
            </w:tcBorders>
            <w:shd w:val="clear" w:color="auto" w:fill="auto"/>
            <w:tcMar>
              <w:top w:w="0" w:type="dxa"/>
              <w:bottom w:w="0" w:type="dxa"/>
            </w:tcMar>
            <w:vAlign w:val="center"/>
          </w:tcPr>
          <w:p w14:paraId="0C67477D"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Profit before tax without provision (*)</w:t>
            </w:r>
          </w:p>
        </w:tc>
        <w:tc>
          <w:tcPr>
            <w:tcW w:w="500" w:type="pct"/>
            <w:tcBorders>
              <w:top w:val="single" w:sz="4" w:space="0" w:color="000000"/>
              <w:left w:val="single" w:sz="4" w:space="0" w:color="000000"/>
            </w:tcBorders>
            <w:shd w:val="clear" w:color="auto" w:fill="auto"/>
            <w:tcMar>
              <w:top w:w="0" w:type="dxa"/>
              <w:bottom w:w="0" w:type="dxa"/>
            </w:tcMar>
            <w:vAlign w:val="center"/>
          </w:tcPr>
          <w:p w14:paraId="712E329D"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Billion VND</w:t>
            </w:r>
          </w:p>
        </w:tc>
        <w:tc>
          <w:tcPr>
            <w:tcW w:w="503" w:type="pct"/>
            <w:tcBorders>
              <w:top w:val="single" w:sz="4" w:space="0" w:color="000000"/>
              <w:left w:val="single" w:sz="4" w:space="0" w:color="000000"/>
            </w:tcBorders>
            <w:shd w:val="clear" w:color="auto" w:fill="auto"/>
            <w:tcMar>
              <w:top w:w="0" w:type="dxa"/>
              <w:bottom w:w="0" w:type="dxa"/>
            </w:tcMar>
            <w:vAlign w:val="center"/>
          </w:tcPr>
          <w:p w14:paraId="1458B7AF"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41</w:t>
            </w:r>
          </w:p>
        </w:tc>
        <w:tc>
          <w:tcPr>
            <w:tcW w:w="582" w:type="pct"/>
            <w:tcBorders>
              <w:top w:val="single" w:sz="4" w:space="0" w:color="000000"/>
              <w:left w:val="single" w:sz="4" w:space="0" w:color="000000"/>
            </w:tcBorders>
            <w:shd w:val="clear" w:color="auto" w:fill="auto"/>
            <w:tcMar>
              <w:top w:w="0" w:type="dxa"/>
              <w:bottom w:w="0" w:type="dxa"/>
            </w:tcMar>
            <w:vAlign w:val="center"/>
          </w:tcPr>
          <w:p w14:paraId="2A8B77C9"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70</w:t>
            </w:r>
          </w:p>
        </w:tc>
        <w:tc>
          <w:tcPr>
            <w:tcW w:w="715" w:type="pct"/>
            <w:tcBorders>
              <w:top w:val="single" w:sz="4" w:space="0" w:color="000000"/>
              <w:left w:val="single" w:sz="4" w:space="0" w:color="000000"/>
            </w:tcBorders>
            <w:shd w:val="clear" w:color="auto" w:fill="auto"/>
            <w:tcMar>
              <w:top w:w="0" w:type="dxa"/>
              <w:bottom w:w="0" w:type="dxa"/>
            </w:tcMar>
            <w:vAlign w:val="center"/>
          </w:tcPr>
          <w:p w14:paraId="437F313C"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170.73</w:t>
            </w:r>
          </w:p>
        </w:tc>
        <w:tc>
          <w:tcPr>
            <w:tcW w:w="6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90B520"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64.22</w:t>
            </w:r>
          </w:p>
        </w:tc>
      </w:tr>
      <w:tr w:rsidR="00005F0E" w:rsidRPr="00A962EF" w14:paraId="0B3B98AC" w14:textId="77777777" w:rsidTr="003D7EFD">
        <w:tc>
          <w:tcPr>
            <w:tcW w:w="2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227CE"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9</w:t>
            </w:r>
          </w:p>
        </w:tc>
        <w:tc>
          <w:tcPr>
            <w:tcW w:w="17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8DC2E6"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Dividend paid in cash (**)</w:t>
            </w:r>
          </w:p>
        </w:tc>
        <w:tc>
          <w:tcPr>
            <w:tcW w:w="5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7A9E19"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w:t>
            </w:r>
          </w:p>
        </w:tc>
        <w:tc>
          <w:tcPr>
            <w:tcW w:w="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10118B" w14:textId="77777777" w:rsidR="00005F0E" w:rsidRPr="00A962EF" w:rsidRDefault="00A962EF"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sdt>
              <w:sdtPr>
                <w:rPr>
                  <w:rFonts w:ascii="Arial" w:hAnsi="Arial" w:cs="Arial"/>
                  <w:sz w:val="20"/>
                </w:rPr>
                <w:tag w:val="goog_rdk_0"/>
                <w:id w:val="1433477484"/>
              </w:sdtPr>
              <w:sdtEndPr/>
              <w:sdtContent>
                <w:r w:rsidR="003D7EFD" w:rsidRPr="00A962EF">
                  <w:rPr>
                    <w:rFonts w:ascii="Arial" w:hAnsi="Arial" w:cs="Arial"/>
                    <w:color w:val="010000"/>
                    <w:sz w:val="20"/>
                  </w:rPr>
                  <w:t>≥ 15</w:t>
                </w:r>
              </w:sdtContent>
            </w:sdt>
          </w:p>
        </w:tc>
        <w:tc>
          <w:tcPr>
            <w:tcW w:w="5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7DC54E"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45</w:t>
            </w:r>
          </w:p>
        </w:tc>
        <w:tc>
          <w:tcPr>
            <w:tcW w:w="7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729F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300</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0A58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112%</w:t>
            </w:r>
          </w:p>
        </w:tc>
      </w:tr>
    </w:tbl>
    <w:p w14:paraId="085CA39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 According to General Mandate No. 01/NQ-DHDCD approved on March 31, 2023, profit before tax in 2023 is VND 41 billion, excluding financial provisions, this target achieves 170.73% of the plan.</w:t>
      </w:r>
    </w:p>
    <w:p w14:paraId="64FC14DE"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 According to General Mandate No. 01/NQ-DHDCD approved on March 31, 2023, the dividend in 2023 is ≥ 15%, the Company prepaid 10% dividends for the first round of 2023 and 35% dividends for the second round of 2023.</w:t>
      </w:r>
    </w:p>
    <w:p w14:paraId="35B97A0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2: Approve the report on activities of the Supervisory Board in 2023</w:t>
      </w:r>
    </w:p>
    <w:p w14:paraId="278ABE7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3: Approve the Financial Statements 2023 audited by AASC Auditing Firm Company Limited.</w:t>
      </w:r>
    </w:p>
    <w:p w14:paraId="10BA0BB1"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4: Approved the profit after tax distribution plan in 2023 as follows:</w:t>
      </w:r>
    </w:p>
    <w:p w14:paraId="4C5F2FB6" w14:textId="77777777" w:rsidR="00005F0E" w:rsidRPr="00A962EF" w:rsidRDefault="003D7EFD" w:rsidP="003D7EFD">
      <w:pPr>
        <w:numPr>
          <w:ilvl w:val="0"/>
          <w:numId w:val="2"/>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lastRenderedPageBreak/>
        <w:t>45% dividends are paid in cash (VND 4,500/share) with 10% for the first round and 35% for the second round.</w:t>
      </w:r>
    </w:p>
    <w:p w14:paraId="7AB62B9C" w14:textId="77777777" w:rsidR="00005F0E" w:rsidRPr="00A962EF" w:rsidRDefault="003D7EFD" w:rsidP="003D7EFD">
      <w:pPr>
        <w:numPr>
          <w:ilvl w:val="0"/>
          <w:numId w:val="2"/>
        </w:numPr>
        <w:pBdr>
          <w:top w:val="nil"/>
          <w:left w:val="nil"/>
          <w:bottom w:val="nil"/>
          <w:right w:val="nil"/>
          <w:between w:val="nil"/>
        </w:pBdr>
        <w:tabs>
          <w:tab w:val="left" w:pos="268"/>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Appropriation for bonus and welfare funds for employees: VND 7,500,000,000</w:t>
      </w:r>
    </w:p>
    <w:p w14:paraId="39B3FF5A" w14:textId="77777777" w:rsidR="00005F0E" w:rsidRPr="00A962EF" w:rsidRDefault="003D7EFD" w:rsidP="003D7EFD">
      <w:pPr>
        <w:numPr>
          <w:ilvl w:val="0"/>
          <w:numId w:val="2"/>
        </w:numPr>
        <w:pBdr>
          <w:top w:val="nil"/>
          <w:left w:val="nil"/>
          <w:bottom w:val="nil"/>
          <w:right w:val="nil"/>
          <w:between w:val="nil"/>
        </w:pBdr>
        <w:tabs>
          <w:tab w:val="left" w:pos="268"/>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Appropriation for social welfare and local support funds: VND 3,000,000,000.</w:t>
      </w:r>
    </w:p>
    <w:p w14:paraId="4957E6F4" w14:textId="77777777" w:rsidR="00005F0E" w:rsidRPr="00A962EF" w:rsidRDefault="003D7EFD" w:rsidP="003D7EFD">
      <w:pPr>
        <w:numPr>
          <w:ilvl w:val="0"/>
          <w:numId w:val="2"/>
        </w:numPr>
        <w:pBdr>
          <w:top w:val="nil"/>
          <w:left w:val="nil"/>
          <w:bottom w:val="nil"/>
          <w:right w:val="nil"/>
          <w:between w:val="nil"/>
        </w:pBdr>
        <w:tabs>
          <w:tab w:val="left" w:pos="268"/>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Bonuses for exceeding the profit before tax plan in 2023 for the Executive Board: VND 1,500.000,000</w:t>
      </w:r>
    </w:p>
    <w:p w14:paraId="4C43EE84"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5: Approve the Proposal on remuneration settlement for the Board of Directors, the Supervisory Board, and the person in charge of corporate governance in 2023 and the remuneration plan for 2024.</w:t>
      </w:r>
    </w:p>
    <w:p w14:paraId="6522098E" w14:textId="77777777" w:rsidR="00005F0E" w:rsidRPr="00A962EF" w:rsidRDefault="003D7EFD" w:rsidP="003D7EFD">
      <w:pPr>
        <w:numPr>
          <w:ilvl w:val="0"/>
          <w:numId w:val="2"/>
        </w:numPr>
        <w:pBdr>
          <w:top w:val="nil"/>
          <w:left w:val="nil"/>
          <w:bottom w:val="nil"/>
          <w:right w:val="nil"/>
          <w:between w:val="nil"/>
        </w:pBdr>
        <w:tabs>
          <w:tab w:val="left" w:pos="268"/>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Total realized remuneration in 2023: VND 972,000,000</w:t>
      </w:r>
    </w:p>
    <w:p w14:paraId="65D570FD" w14:textId="77777777" w:rsidR="00005F0E" w:rsidRPr="00A962EF" w:rsidRDefault="003D7EFD" w:rsidP="003D7EFD">
      <w:pPr>
        <w:numPr>
          <w:ilvl w:val="0"/>
          <w:numId w:val="2"/>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Remuneration plan for 2024: VND 972,000,000</w:t>
      </w:r>
    </w:p>
    <w:p w14:paraId="485C8309"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6: Approve the Proposal on production, business and investment plan in 2024 with a number of main targets as follows:</w:t>
      </w:r>
    </w:p>
    <w:p w14:paraId="201BC40B" w14:textId="77777777" w:rsidR="00005F0E" w:rsidRPr="00A962EF" w:rsidRDefault="003D7EFD" w:rsidP="003D7EFD">
      <w:pPr>
        <w:numPr>
          <w:ilvl w:val="0"/>
          <w:numId w:val="2"/>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Production of antimony metal: 500 tons</w:t>
      </w:r>
    </w:p>
    <w:p w14:paraId="643C9051"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Consumption of antimony metal: 680 tons</w:t>
      </w:r>
    </w:p>
    <w:p w14:paraId="027967B8"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Revenue from goods sales: VND 181 billion</w:t>
      </w:r>
    </w:p>
    <w:p w14:paraId="068CADBA" w14:textId="77777777" w:rsidR="00005F0E" w:rsidRPr="00A962EF" w:rsidRDefault="003D7EFD" w:rsidP="003D7EFD">
      <w:pPr>
        <w:numPr>
          <w:ilvl w:val="0"/>
          <w:numId w:val="2"/>
        </w:numPr>
        <w:pBdr>
          <w:top w:val="nil"/>
          <w:left w:val="nil"/>
          <w:bottom w:val="nil"/>
          <w:right w:val="nil"/>
          <w:between w:val="nil"/>
        </w:pBdr>
        <w:tabs>
          <w:tab w:val="left" w:pos="275"/>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Profit before tax: VND 50 billion (excluding provisions and reversal of financial investment provisions)</w:t>
      </w:r>
    </w:p>
    <w:p w14:paraId="5DF16EAB" w14:textId="77777777" w:rsidR="00005F0E" w:rsidRPr="00A962EF" w:rsidRDefault="00A962EF"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sdt>
        <w:sdtPr>
          <w:rPr>
            <w:rFonts w:ascii="Arial" w:hAnsi="Arial" w:cs="Arial"/>
            <w:sz w:val="20"/>
          </w:rPr>
          <w:tag w:val="goog_rdk_1"/>
          <w:id w:val="2040861986"/>
        </w:sdtPr>
        <w:sdtEndPr/>
        <w:sdtContent>
          <w:r w:rsidR="003D7EFD" w:rsidRPr="00A962EF">
            <w:rPr>
              <w:rFonts w:ascii="Arial" w:hAnsi="Arial" w:cs="Arial"/>
              <w:color w:val="010000"/>
              <w:sz w:val="20"/>
            </w:rPr>
            <w:t>Dividend payment in cash ≥ 15%</w:t>
          </w:r>
        </w:sdtContent>
      </w:sdt>
    </w:p>
    <w:p w14:paraId="122F8C80"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Authorize the Board of Directors to decide on the dividend prepayment and payment time.</w:t>
      </w:r>
    </w:p>
    <w:p w14:paraId="452DD4C1"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Temporary appropriation for bonus and welfare fund during the year is 5% from profit after tax.</w:t>
      </w:r>
    </w:p>
    <w:p w14:paraId="0A47CA2E"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The bonus for exceeding the pre-tax profit plan (excluding the provision and reversal of financial investment provisions) for the Company's Executive Board is 20% of the excess performance compared to that of the 2024 plan.</w:t>
      </w:r>
    </w:p>
    <w:p w14:paraId="7F2406EC" w14:textId="77777777" w:rsidR="00005F0E" w:rsidRPr="00A962EF" w:rsidRDefault="003D7EFD" w:rsidP="003D7EFD">
      <w:pPr>
        <w:numPr>
          <w:ilvl w:val="0"/>
          <w:numId w:val="2"/>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Investment plan for 2024: Assign the Company to implement according to its authority based on the actual situation.</w:t>
      </w:r>
    </w:p>
    <w:p w14:paraId="242A7F20"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7: Approve the Proposal on selecting an audit company for the Financial Statements 2024. Assign the Supervisory Board and the Executive Board to consider selecting an independent audit company to audit the Financial Statements 2024 according to current regulations.</w:t>
      </w:r>
    </w:p>
    <w:p w14:paraId="0D5BBDFA"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 xml:space="preserve">Article 8: Approve the Proposal on adjusting the Antimony ore mining and processing project at Mau Due Mine, Mau Due Commune, Yen Minh District, Ha </w:t>
      </w:r>
      <w:proofErr w:type="spellStart"/>
      <w:r w:rsidRPr="00A962EF">
        <w:rPr>
          <w:rFonts w:ascii="Arial" w:hAnsi="Arial" w:cs="Arial"/>
          <w:color w:val="010000"/>
          <w:sz w:val="20"/>
        </w:rPr>
        <w:t>Giang</w:t>
      </w:r>
      <w:proofErr w:type="spellEnd"/>
      <w:r w:rsidRPr="00A962EF">
        <w:rPr>
          <w:rFonts w:ascii="Arial" w:hAnsi="Arial" w:cs="Arial"/>
          <w:color w:val="010000"/>
          <w:sz w:val="20"/>
        </w:rPr>
        <w:t xml:space="preserve"> Province. Assign the Board of Directors of the Company to implement according to current regulations.</w:t>
      </w:r>
    </w:p>
    <w:p w14:paraId="1393E103" w14:textId="77777777" w:rsidR="00005F0E" w:rsidRPr="00A962EF" w:rsidRDefault="003D7EFD" w:rsidP="003D7E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Article 9: Terms of enforcement.</w:t>
      </w:r>
    </w:p>
    <w:p w14:paraId="2B2BE49E" w14:textId="77777777" w:rsidR="00005F0E" w:rsidRPr="00A962EF" w:rsidRDefault="003D7EFD" w:rsidP="003D7EFD">
      <w:pPr>
        <w:numPr>
          <w:ilvl w:val="0"/>
          <w:numId w:val="3"/>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lastRenderedPageBreak/>
        <w:t>This General Mandate takes effect from March 28, 2024.</w:t>
      </w:r>
    </w:p>
    <w:p w14:paraId="4DEE4189" w14:textId="77777777" w:rsidR="00005F0E" w:rsidRPr="00A962EF" w:rsidRDefault="003D7EFD" w:rsidP="003D7EFD">
      <w:pPr>
        <w:numPr>
          <w:ilvl w:val="0"/>
          <w:numId w:val="3"/>
        </w:numPr>
        <w:pBdr>
          <w:top w:val="nil"/>
          <w:left w:val="nil"/>
          <w:bottom w:val="nil"/>
          <w:right w:val="nil"/>
          <w:between w:val="nil"/>
        </w:pBdr>
        <w:tabs>
          <w:tab w:val="left" w:pos="369"/>
          <w:tab w:val="left" w:pos="432"/>
        </w:tabs>
        <w:spacing w:after="120" w:line="360" w:lineRule="auto"/>
        <w:rPr>
          <w:rFonts w:ascii="Arial" w:eastAsia="Arial" w:hAnsi="Arial" w:cs="Arial"/>
          <w:color w:val="010000"/>
          <w:sz w:val="20"/>
          <w:szCs w:val="20"/>
        </w:rPr>
      </w:pPr>
      <w:r w:rsidRPr="00A962EF">
        <w:rPr>
          <w:rFonts w:ascii="Arial" w:hAnsi="Arial" w:cs="Arial"/>
          <w:color w:val="010000"/>
          <w:sz w:val="20"/>
        </w:rPr>
        <w:t>Members of the Board of Directors, the Supervisory Board and the Board off Managers are responsible for implementing this General Mandate in consistent with functions, responsibilities and authorities in compliance with Company’s Charter and provisions of law.</w:t>
      </w:r>
    </w:p>
    <w:sectPr w:rsidR="00005F0E" w:rsidRPr="00A962EF" w:rsidSect="003D7E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0E3"/>
    <w:multiLevelType w:val="multilevel"/>
    <w:tmpl w:val="0C14A2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D32F4"/>
    <w:multiLevelType w:val="multilevel"/>
    <w:tmpl w:val="D25803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694F03"/>
    <w:multiLevelType w:val="multilevel"/>
    <w:tmpl w:val="C0FADC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0E"/>
    <w:rsid w:val="00005F0E"/>
    <w:rsid w:val="003D7EFD"/>
    <w:rsid w:val="00A962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5846"/>
  <w15:docId w15:val="{0851F743-30B3-44FE-ACDC-C69C37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4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w w:val="7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2"/>
      <w:szCs w:val="1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u w:val="none"/>
      <w:shd w:val="clear" w:color="auto" w:fill="auto"/>
    </w:rPr>
  </w:style>
  <w:style w:type="character" w:customStyle="1" w:styleId="Bodytext8">
    <w:name w:val="Body text (8)_"/>
    <w:basedOn w:val="DefaultParagraphFont"/>
    <w:link w:val="Bodytext80"/>
    <w:rPr>
      <w:rFonts w:ascii="Arial" w:eastAsia="Arial" w:hAnsi="Arial" w:cs="Arial"/>
      <w:b/>
      <w:bCs/>
      <w:i w:val="0"/>
      <w:iCs w:val="0"/>
      <w:smallCaps w:val="0"/>
      <w:strike w:val="0"/>
      <w:w w:val="70"/>
      <w:sz w:val="17"/>
      <w:szCs w:val="17"/>
      <w:u w:val="none"/>
      <w:shd w:val="clear" w:color="auto" w:fill="auto"/>
    </w:rPr>
  </w:style>
  <w:style w:type="character" w:customStyle="1" w:styleId="Bodytext9">
    <w:name w:val="Body text (9)_"/>
    <w:basedOn w:val="DefaultParagraphFont"/>
    <w:link w:val="Bodytext90"/>
    <w:rPr>
      <w:rFonts w:ascii="Arial" w:eastAsia="Arial" w:hAnsi="Arial" w:cs="Arial"/>
      <w:b w:val="0"/>
      <w:bCs w:val="0"/>
      <w:i w:val="0"/>
      <w:iCs w:val="0"/>
      <w:smallCaps/>
      <w:strike w:val="0"/>
      <w:sz w:val="26"/>
      <w:szCs w:val="2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b/>
      <w:bCs/>
      <w:sz w:val="16"/>
      <w:szCs w:val="16"/>
    </w:rPr>
  </w:style>
  <w:style w:type="paragraph" w:customStyle="1" w:styleId="Bodytext20">
    <w:name w:val="Body text (2)"/>
    <w:basedOn w:val="Normal"/>
    <w:link w:val="Bodytext2"/>
    <w:pPr>
      <w:spacing w:line="257" w:lineRule="auto"/>
    </w:pPr>
    <w:rPr>
      <w:rFonts w:ascii="Times New Roman" w:eastAsia="Times New Roman" w:hAnsi="Times New Roman" w:cs="Times New Roman"/>
      <w:i/>
      <w:iCs/>
      <w:sz w:val="19"/>
      <w:szCs w:val="19"/>
    </w:rPr>
  </w:style>
  <w:style w:type="paragraph" w:customStyle="1" w:styleId="Heading31">
    <w:name w:val="Heading #3"/>
    <w:basedOn w:val="Normal"/>
    <w:link w:val="Heading30"/>
    <w:pPr>
      <w:spacing w:line="262" w:lineRule="auto"/>
      <w:ind w:firstLine="530"/>
      <w:outlineLvl w:val="2"/>
    </w:pPr>
    <w:rPr>
      <w:rFonts w:ascii="Times New Roman" w:eastAsia="Times New Roman" w:hAnsi="Times New Roman" w:cs="Times New Roman"/>
      <w:b/>
      <w:bCs/>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spacing w:line="228" w:lineRule="auto"/>
      <w:ind w:left="1510"/>
    </w:pPr>
    <w:rPr>
      <w:rFonts w:ascii="Arial" w:eastAsia="Arial" w:hAnsi="Arial" w:cs="Arial"/>
      <w:b/>
      <w:bCs/>
      <w:w w:val="70"/>
      <w:sz w:val="17"/>
      <w:szCs w:val="17"/>
    </w:rPr>
  </w:style>
  <w:style w:type="paragraph" w:customStyle="1" w:styleId="Heading11">
    <w:name w:val="Heading #1"/>
    <w:basedOn w:val="Normal"/>
    <w:link w:val="Heading10"/>
    <w:pPr>
      <w:spacing w:line="218" w:lineRule="auto"/>
      <w:ind w:firstLine="220"/>
      <w:outlineLvl w:val="0"/>
    </w:pPr>
    <w:rPr>
      <w:rFonts w:ascii="Times New Roman" w:eastAsia="Times New Roman" w:hAnsi="Times New Roman" w:cs="Times New Roman"/>
      <w:smallCaps/>
      <w:sz w:val="30"/>
      <w:szCs w:val="30"/>
    </w:rPr>
  </w:style>
  <w:style w:type="paragraph" w:customStyle="1" w:styleId="Bodytext50">
    <w:name w:val="Body text (5)"/>
    <w:basedOn w:val="Normal"/>
    <w:link w:val="Bodytext5"/>
    <w:rPr>
      <w:rFonts w:ascii="Arial" w:eastAsia="Arial" w:hAnsi="Arial" w:cs="Arial"/>
      <w:b/>
      <w:bCs/>
      <w:sz w:val="12"/>
      <w:szCs w:val="12"/>
    </w:rPr>
  </w:style>
  <w:style w:type="paragraph" w:customStyle="1" w:styleId="Heading21">
    <w:name w:val="Heading #2"/>
    <w:basedOn w:val="Normal"/>
    <w:link w:val="Heading20"/>
    <w:pPr>
      <w:spacing w:line="266" w:lineRule="auto"/>
      <w:ind w:firstLine="880"/>
      <w:outlineLvl w:val="1"/>
    </w:pPr>
    <w:rPr>
      <w:rFonts w:ascii="Times New Roman" w:eastAsia="Times New Roman" w:hAnsi="Times New Roman" w:cs="Times New Roman"/>
      <w:i/>
      <w:iCs/>
    </w:rPr>
  </w:style>
  <w:style w:type="paragraph" w:customStyle="1" w:styleId="Bodytext80">
    <w:name w:val="Body text (8)"/>
    <w:basedOn w:val="Normal"/>
    <w:link w:val="Bodytext8"/>
    <w:pPr>
      <w:spacing w:line="300" w:lineRule="auto"/>
    </w:pPr>
    <w:rPr>
      <w:rFonts w:ascii="Arial" w:eastAsia="Arial" w:hAnsi="Arial" w:cs="Arial"/>
      <w:b/>
      <w:bCs/>
      <w:w w:val="70"/>
      <w:sz w:val="17"/>
      <w:szCs w:val="17"/>
    </w:rPr>
  </w:style>
  <w:style w:type="paragraph" w:customStyle="1" w:styleId="Bodytext90">
    <w:name w:val="Body text (9)"/>
    <w:basedOn w:val="Normal"/>
    <w:link w:val="Bodytext9"/>
    <w:pPr>
      <w:ind w:left="5020"/>
    </w:pPr>
    <w:rPr>
      <w:rFonts w:ascii="Arial" w:eastAsia="Arial" w:hAnsi="Arial" w:cs="Arial"/>
      <w:smallCap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L8MQ4Mr0vaOA/mjpPyXSRPNhLQ==">CgMxLjAaJAoBMBIfCh0IB0IZCgVBcmlhbBIQQXJpYWwgVW5pY29kZSBNUxokCgExEh8KHQgHQhkKBUFyaWFsEhBBcmlhbCBVbmljb2RlIE1TMghoLmdqZGd4czgAciExd1RoWWxJXzRxNUh3VEpIMWJZQms4YjJobW5NRlY1MWo=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2024-04-02T01:51:00Z</dcterms:created>
  <dcterms:modified xsi:type="dcterms:W3CDTF">2024-04-03T03:23:00Z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088eef03fb8aee0261392df0d2e04e7c1ed9496113d4a1843941c36713b0e595</vt:lpwstr>
  </property>
</Properties>
</file>