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EBAD" w14:textId="77777777" w:rsidR="00AB6F18" w:rsidRPr="00130C4D" w:rsidRDefault="00E931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130C4D">
        <w:rPr>
          <w:rFonts w:ascii="Arial" w:hAnsi="Arial"/>
          <w:b/>
          <w:color w:val="010000"/>
          <w:sz w:val="20"/>
        </w:rPr>
        <w:t>KSF: Explanation on the Financial Statements 2023</w:t>
      </w:r>
    </w:p>
    <w:p w14:paraId="035A113C" w14:textId="77777777" w:rsidR="00AB6F18" w:rsidRPr="00130C4D" w:rsidRDefault="00E931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130C4D">
        <w:rPr>
          <w:rFonts w:ascii="Arial" w:hAnsi="Arial"/>
          <w:bCs/>
          <w:color w:val="010000"/>
          <w:sz w:val="20"/>
        </w:rPr>
        <w:t>On March 25, 2024, REAL TECH GROUP JOINT STOCK COMPANY announced Official Dispatch No. 21/2024/CV-RTG on Explanation of Financial Statements Information for 2023 as follows:</w:t>
      </w:r>
    </w:p>
    <w:p w14:paraId="200FF0AF" w14:textId="11F9BBB4" w:rsidR="00AB6F18" w:rsidRPr="00130C4D" w:rsidRDefault="00E931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bCs/>
          <w:color w:val="010000"/>
          <w:sz w:val="20"/>
          <w:szCs w:val="20"/>
        </w:rPr>
      </w:pPr>
      <w:r w:rsidRPr="00130C4D">
        <w:rPr>
          <w:rFonts w:ascii="Arial" w:hAnsi="Arial"/>
          <w:bCs/>
          <w:color w:val="010000"/>
          <w:sz w:val="20"/>
        </w:rPr>
        <w:t>Unit VN</w:t>
      </w:r>
      <w:r w:rsidR="00130C4D">
        <w:rPr>
          <w:rFonts w:ascii="Arial" w:hAnsi="Arial"/>
          <w:bCs/>
          <w:color w:val="010000"/>
          <w:sz w:val="20"/>
        </w:rPr>
        <w:t>D</w:t>
      </w:r>
    </w:p>
    <w:tbl>
      <w:tblPr>
        <w:tblStyle w:val="a"/>
        <w:tblW w:w="9017" w:type="dxa"/>
        <w:tblLayout w:type="fixed"/>
        <w:tblLook w:val="0400" w:firstRow="0" w:lastRow="0" w:firstColumn="0" w:lastColumn="0" w:noHBand="0" w:noVBand="1"/>
      </w:tblPr>
      <w:tblGrid>
        <w:gridCol w:w="645"/>
        <w:gridCol w:w="2222"/>
        <w:gridCol w:w="1701"/>
        <w:gridCol w:w="1695"/>
        <w:gridCol w:w="1773"/>
        <w:gridCol w:w="981"/>
      </w:tblGrid>
      <w:tr w:rsidR="00AB6F18" w:rsidRPr="00130C4D" w14:paraId="751470CE" w14:textId="77777777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9137BA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39F5B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Target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53628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2023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B7D09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2022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8C0AD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Difference</w:t>
            </w:r>
          </w:p>
        </w:tc>
      </w:tr>
      <w:tr w:rsidR="00AB6F18" w:rsidRPr="00130C4D" w14:paraId="451AD21D" w14:textId="77777777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88560" w14:textId="77777777" w:rsidR="00AB6F18" w:rsidRPr="00130C4D" w:rsidRDefault="00AB6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17524" w14:textId="77777777" w:rsidR="00AB6F18" w:rsidRPr="00130C4D" w:rsidRDefault="00AB6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7A193" w14:textId="77777777" w:rsidR="00AB6F18" w:rsidRPr="00130C4D" w:rsidRDefault="00AB6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E406B" w14:textId="77777777" w:rsidR="00AB6F18" w:rsidRPr="00130C4D" w:rsidRDefault="00AB6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A35AC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Value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9B112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%</w:t>
            </w:r>
          </w:p>
        </w:tc>
      </w:tr>
      <w:tr w:rsidR="00AB6F18" w:rsidRPr="00130C4D" w14:paraId="25AC7F4E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B7375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0DB42" w14:textId="298E6986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Profit after tax</w:t>
            </w:r>
            <w:r w:rsidR="00130C4D"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  <w:t xml:space="preserve"> on the S</w:t>
            </w:r>
            <w:r w:rsidRPr="00130C4D">
              <w:rPr>
                <w:rFonts w:ascii="Arial" w:hAnsi="Arial"/>
                <w:bCs/>
                <w:color w:val="010000"/>
                <w:sz w:val="20"/>
              </w:rPr>
              <w:t>eparate Financial Statements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86159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12,506,580,206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B5C29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82,771,826,675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3B8004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-70,265,246,469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ADB51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-84.89%</w:t>
            </w:r>
          </w:p>
        </w:tc>
      </w:tr>
      <w:tr w:rsidR="00AB6F18" w:rsidRPr="00130C4D" w14:paraId="455DB0A5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C94BF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AE5D9" w14:textId="0235B341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Profit after tax</w:t>
            </w:r>
            <w:r w:rsidR="00130C4D"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  <w:t xml:space="preserve"> on t</w:t>
            </w:r>
            <w:r w:rsidRPr="00130C4D">
              <w:rPr>
                <w:rFonts w:ascii="Arial" w:hAnsi="Arial"/>
                <w:bCs/>
                <w:color w:val="010000"/>
                <w:sz w:val="20"/>
              </w:rPr>
              <w:t>he Consolidated Financial Statements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0A360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204,156,563,202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8894C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619,768,174,476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F7DFE7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-415,611,611,274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5A311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-67.06%</w:t>
            </w:r>
          </w:p>
        </w:tc>
      </w:tr>
    </w:tbl>
    <w:p w14:paraId="364E923E" w14:textId="77777777" w:rsidR="00AB6F18" w:rsidRPr="00130C4D" w:rsidRDefault="00E931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130C4D">
        <w:rPr>
          <w:rFonts w:ascii="Arial" w:hAnsi="Arial"/>
          <w:bCs/>
          <w:color w:val="010000"/>
          <w:sz w:val="20"/>
        </w:rPr>
        <w:t>Reasons:</w:t>
      </w:r>
    </w:p>
    <w:p w14:paraId="4E1281CD" w14:textId="69837477" w:rsidR="00AB6F18" w:rsidRPr="006B5546" w:rsidRDefault="00E931ED" w:rsidP="006B55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8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130C4D">
        <w:rPr>
          <w:rFonts w:ascii="Arial" w:hAnsi="Arial"/>
          <w:bCs/>
          <w:color w:val="010000"/>
          <w:sz w:val="20"/>
        </w:rPr>
        <w:t xml:space="preserve">Profit after corporate income tax in 2023 </w:t>
      </w:r>
      <w:r w:rsidR="006B5546">
        <w:rPr>
          <w:rFonts w:ascii="Arial" w:hAnsi="Arial"/>
          <w:bCs/>
          <w:color w:val="010000"/>
          <w:sz w:val="20"/>
        </w:rPr>
        <w:t xml:space="preserve">on the Separate Statements of the Holding Company </w:t>
      </w:r>
      <w:r w:rsidRPr="00130C4D">
        <w:rPr>
          <w:rFonts w:ascii="Arial" w:hAnsi="Arial"/>
          <w:bCs/>
          <w:color w:val="010000"/>
          <w:sz w:val="20"/>
        </w:rPr>
        <w:t xml:space="preserve">decreased by more than VND 70.26 billion, a decrease of 84.89% compared to </w:t>
      </w:r>
      <w:r w:rsidR="006E4D62">
        <w:rPr>
          <w:rFonts w:ascii="Arial" w:hAnsi="Arial"/>
          <w:bCs/>
          <w:color w:val="010000"/>
          <w:sz w:val="20"/>
        </w:rPr>
        <w:t xml:space="preserve">that in </w:t>
      </w:r>
      <w:r w:rsidRPr="00130C4D">
        <w:rPr>
          <w:rFonts w:ascii="Arial" w:hAnsi="Arial"/>
          <w:bCs/>
          <w:color w:val="010000"/>
          <w:sz w:val="20"/>
        </w:rPr>
        <w:t>2022, mainly due to the following reasons:</w:t>
      </w:r>
    </w:p>
    <w:p w14:paraId="370A85CB" w14:textId="7C6E7910" w:rsidR="00AB6F18" w:rsidRPr="00130C4D" w:rsidRDefault="00E931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130C4D">
        <w:rPr>
          <w:rFonts w:ascii="Arial" w:hAnsi="Arial"/>
          <w:bCs/>
          <w:color w:val="010000"/>
          <w:sz w:val="20"/>
        </w:rPr>
        <w:t xml:space="preserve">Gross profit from sales and service provision decreased by VND 24.03 billion, equivalent to a decrease of 35.71% </w:t>
      </w:r>
      <w:r w:rsidR="00452ECA">
        <w:rPr>
          <w:rFonts w:ascii="Arial" w:hAnsi="Arial"/>
          <w:bCs/>
          <w:color w:val="010000"/>
          <w:sz w:val="20"/>
        </w:rPr>
        <w:t>over</w:t>
      </w:r>
      <w:r w:rsidRPr="00130C4D">
        <w:rPr>
          <w:rFonts w:ascii="Arial" w:hAnsi="Arial"/>
          <w:bCs/>
          <w:color w:val="010000"/>
          <w:sz w:val="20"/>
        </w:rPr>
        <w:t xml:space="preserve"> the same period last year, mainly due to the decline in revenue from real estate transfer activities in the context of general diff</w:t>
      </w:r>
      <w:r w:rsidRPr="00130C4D">
        <w:rPr>
          <w:rFonts w:ascii="Arial" w:hAnsi="Arial"/>
          <w:bCs/>
          <w:color w:val="010000"/>
          <w:sz w:val="20"/>
        </w:rPr>
        <w:t xml:space="preserve">iculties in the real estate market. </w:t>
      </w:r>
    </w:p>
    <w:p w14:paraId="29BB7AF0" w14:textId="77777777" w:rsidR="00AB6F18" w:rsidRPr="00130C4D" w:rsidRDefault="00E931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130C4D">
        <w:rPr>
          <w:rFonts w:ascii="Arial" w:hAnsi="Arial"/>
          <w:bCs/>
          <w:color w:val="010000"/>
          <w:sz w:val="20"/>
        </w:rPr>
        <w:t>Profit from financial activities decreased by VND 77.3 billion, equivalent to a decrease of 76.07% compared to the previous year because in June 2023, the Company transferred the deposit to buy shares of Sunshine Sky Vi</w:t>
      </w:r>
      <w:r w:rsidRPr="00130C4D">
        <w:rPr>
          <w:rFonts w:ascii="Arial" w:hAnsi="Arial"/>
          <w:bCs/>
          <w:color w:val="010000"/>
          <w:sz w:val="20"/>
        </w:rPr>
        <w:t>lla Joint Stock Company (with deposit interest) to receive the transfer of 48% of shares in Sunshine Sky Villa Joint Stock Company with the transfer price of VND 960,000,000,000, so financial income decreased while the Company's financial expenses in the y</w:t>
      </w:r>
      <w:r w:rsidRPr="00130C4D">
        <w:rPr>
          <w:rFonts w:ascii="Arial" w:hAnsi="Arial"/>
          <w:bCs/>
          <w:color w:val="010000"/>
          <w:sz w:val="20"/>
        </w:rPr>
        <w:t>ear also increased.</w:t>
      </w:r>
    </w:p>
    <w:p w14:paraId="186819E3" w14:textId="77777777" w:rsidR="00AB6F18" w:rsidRPr="00130C4D" w:rsidRDefault="00E931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130C4D">
        <w:rPr>
          <w:rFonts w:ascii="Arial" w:hAnsi="Arial"/>
          <w:bCs/>
          <w:color w:val="010000"/>
          <w:sz w:val="20"/>
        </w:rPr>
        <w:t>However, total selling expenses and general and administrative expenses also decreased by VND 17.3 billion, equivalent to a decrease of 28.46% as the enterprise made efforts to cut costs and improve operational efficiency.</w:t>
      </w:r>
    </w:p>
    <w:p w14:paraId="6CB5E4FD" w14:textId="77777777" w:rsidR="00AB6F18" w:rsidRPr="00130C4D" w:rsidRDefault="00E931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1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130C4D">
        <w:rPr>
          <w:rFonts w:ascii="Arial" w:hAnsi="Arial"/>
          <w:bCs/>
          <w:color w:val="010000"/>
          <w:sz w:val="20"/>
        </w:rPr>
        <w:t>. Profit afte</w:t>
      </w:r>
      <w:r w:rsidRPr="00130C4D">
        <w:rPr>
          <w:rFonts w:ascii="Arial" w:hAnsi="Arial"/>
          <w:bCs/>
          <w:color w:val="010000"/>
          <w:sz w:val="20"/>
        </w:rPr>
        <w:t>r corporate income tax on the consolidated financial statements in 2023 of the Company decreased by VND 415.6 billion, equivalent to a decrease of 67.06% compared to 2022, mainly due to the following reasons:</w:t>
      </w:r>
    </w:p>
    <w:p w14:paraId="191EC1B6" w14:textId="6A22D014" w:rsidR="00AB6F18" w:rsidRPr="00130C4D" w:rsidRDefault="00E931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87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130C4D">
        <w:rPr>
          <w:rFonts w:ascii="Arial" w:hAnsi="Arial"/>
          <w:bCs/>
          <w:color w:val="010000"/>
          <w:sz w:val="20"/>
        </w:rPr>
        <w:t xml:space="preserve">Gross profit from sales and service provision in 2023 compared to </w:t>
      </w:r>
      <w:r>
        <w:rPr>
          <w:rFonts w:ascii="Arial" w:hAnsi="Arial"/>
          <w:bCs/>
          <w:color w:val="010000"/>
          <w:sz w:val="20"/>
        </w:rPr>
        <w:t xml:space="preserve">that in </w:t>
      </w:r>
      <w:r w:rsidRPr="00130C4D">
        <w:rPr>
          <w:rFonts w:ascii="Arial" w:hAnsi="Arial"/>
          <w:bCs/>
          <w:color w:val="010000"/>
          <w:sz w:val="20"/>
        </w:rPr>
        <w:t>2022 decreased by VND 464.63 billion, equivalent to a decrease of 61.19%, due to a decrease in revenue from real estate transfer activities, securities trading activities, securities deposit</w:t>
      </w:r>
      <w:r w:rsidRPr="00130C4D">
        <w:rPr>
          <w:rFonts w:ascii="Arial" w:hAnsi="Arial"/>
          <w:bCs/>
          <w:color w:val="010000"/>
          <w:sz w:val="20"/>
        </w:rPr>
        <w:t>ory, and construction contractor activities;</w:t>
      </w:r>
    </w:p>
    <w:p w14:paraId="4BFA2A13" w14:textId="77777777" w:rsidR="00AB6F18" w:rsidRPr="00130C4D" w:rsidRDefault="00E931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87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130C4D">
        <w:rPr>
          <w:rFonts w:ascii="Arial" w:hAnsi="Arial"/>
          <w:bCs/>
          <w:color w:val="010000"/>
          <w:sz w:val="20"/>
        </w:rPr>
        <w:lastRenderedPageBreak/>
        <w:t>Financial expenses in the year increased at a higher rate than financial income, leading to a decrease in profit from financial activities by VND 106.8 billion, equivalent to a decrease of 39.76% compared to the</w:t>
      </w:r>
      <w:r w:rsidRPr="00130C4D">
        <w:rPr>
          <w:rFonts w:ascii="Arial" w:hAnsi="Arial"/>
          <w:bCs/>
          <w:color w:val="010000"/>
          <w:sz w:val="20"/>
        </w:rPr>
        <w:t xml:space="preserve"> same period; mainly due to the consolidation of financial expenses of subsidiaries that are in the process of investing in projects.</w:t>
      </w:r>
    </w:p>
    <w:p w14:paraId="572CF544" w14:textId="77777777" w:rsidR="00AB6F18" w:rsidRPr="00130C4D" w:rsidRDefault="00E931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83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130C4D">
        <w:rPr>
          <w:rFonts w:ascii="Arial" w:hAnsi="Arial"/>
          <w:bCs/>
          <w:color w:val="010000"/>
          <w:sz w:val="20"/>
        </w:rPr>
        <w:t>Total selling expenses and general and administrative expenses decreased by VND 44.16 billion, equivalent to a decrease of</w:t>
      </w:r>
      <w:r w:rsidRPr="00130C4D">
        <w:rPr>
          <w:rFonts w:ascii="Arial" w:hAnsi="Arial"/>
          <w:bCs/>
          <w:color w:val="010000"/>
          <w:sz w:val="20"/>
        </w:rPr>
        <w:t xml:space="preserve"> 18.41% as the enterprise cut costs and improved operational efficiency.</w:t>
      </w:r>
    </w:p>
    <w:p w14:paraId="72CA0DCA" w14:textId="77777777" w:rsidR="00AB6F18" w:rsidRPr="00130C4D" w:rsidRDefault="00E931ED">
      <w:pPr>
        <w:rPr>
          <w:rFonts w:ascii="Arial" w:eastAsia="Arial" w:hAnsi="Arial" w:cs="Arial"/>
          <w:bCs/>
          <w:color w:val="010000"/>
          <w:sz w:val="20"/>
          <w:szCs w:val="20"/>
        </w:rPr>
      </w:pPr>
      <w:r w:rsidRPr="00130C4D">
        <w:rPr>
          <w:bCs/>
        </w:rPr>
        <w:br w:type="page"/>
      </w:r>
    </w:p>
    <w:p w14:paraId="4C7FE14A" w14:textId="77777777" w:rsidR="00AB6F18" w:rsidRPr="00130C4D" w:rsidRDefault="00E931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130C4D">
        <w:rPr>
          <w:rFonts w:ascii="Arial" w:hAnsi="Arial"/>
          <w:bCs/>
          <w:color w:val="010000"/>
          <w:sz w:val="20"/>
        </w:rPr>
        <w:lastRenderedPageBreak/>
        <w:t>On March 25, 2024, REAL TECH GROUP JOINT STOCK COMPANY announced Official Dispatch No. 22/2024/CV-RTG on Explanation of Financial Statements Information after audit and self-prepare</w:t>
      </w:r>
      <w:r w:rsidRPr="00130C4D">
        <w:rPr>
          <w:rFonts w:ascii="Arial" w:hAnsi="Arial"/>
          <w:bCs/>
          <w:color w:val="010000"/>
          <w:sz w:val="20"/>
        </w:rPr>
        <w:t>d in 2023 as follows:</w:t>
      </w:r>
    </w:p>
    <w:p w14:paraId="60F2A4BB" w14:textId="77777777" w:rsidR="00AB6F18" w:rsidRPr="00130C4D" w:rsidRDefault="00E931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130C4D">
        <w:rPr>
          <w:rFonts w:ascii="Arial" w:hAnsi="Arial"/>
          <w:bCs/>
          <w:color w:val="010000"/>
          <w:sz w:val="20"/>
        </w:rPr>
        <w:t>With this document, the Company would like to explain the case where the Profit after tax differs by 5% or more on the audited Financial Statements and the self-prepared financial statements for 2023 as follows:</w:t>
      </w:r>
    </w:p>
    <w:p w14:paraId="57A67366" w14:textId="77777777" w:rsidR="00AB6F18" w:rsidRPr="00130C4D" w:rsidRDefault="00E931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130C4D">
        <w:rPr>
          <w:rFonts w:ascii="Arial" w:hAnsi="Arial"/>
          <w:bCs/>
          <w:color w:val="010000"/>
          <w:sz w:val="20"/>
        </w:rPr>
        <w:t>Table comparing Profit after tax figures between the self-prepared separate Financial Statements for 2023 and the audited separate Financial Statements for 2023 is as follows:</w:t>
      </w:r>
    </w:p>
    <w:p w14:paraId="27A5E540" w14:textId="77777777" w:rsidR="00AB6F18" w:rsidRPr="00130C4D" w:rsidRDefault="00E931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bCs/>
          <w:color w:val="010000"/>
          <w:sz w:val="20"/>
          <w:szCs w:val="20"/>
        </w:rPr>
      </w:pPr>
      <w:r w:rsidRPr="00130C4D">
        <w:rPr>
          <w:rFonts w:ascii="Arial" w:hAnsi="Arial"/>
          <w:bCs/>
          <w:color w:val="010000"/>
          <w:sz w:val="20"/>
        </w:rPr>
        <w:t>Unit:</w:t>
      </w:r>
      <w:r w:rsidRPr="00130C4D">
        <w:rPr>
          <w:rFonts w:ascii="Arial" w:hAnsi="Arial"/>
          <w:bCs/>
          <w:color w:val="010000"/>
          <w:sz w:val="20"/>
        </w:rPr>
        <w:t xml:space="preserve"> VND</w:t>
      </w:r>
    </w:p>
    <w:tbl>
      <w:tblPr>
        <w:tblStyle w:val="a0"/>
        <w:tblW w:w="9017" w:type="dxa"/>
        <w:tblLayout w:type="fixed"/>
        <w:tblLook w:val="0400" w:firstRow="0" w:lastRow="0" w:firstColumn="0" w:lastColumn="0" w:noHBand="0" w:noVBand="1"/>
      </w:tblPr>
      <w:tblGrid>
        <w:gridCol w:w="647"/>
        <w:gridCol w:w="2449"/>
        <w:gridCol w:w="1582"/>
        <w:gridCol w:w="1587"/>
        <w:gridCol w:w="1558"/>
        <w:gridCol w:w="1194"/>
      </w:tblGrid>
      <w:tr w:rsidR="00AB6F18" w:rsidRPr="00130C4D" w14:paraId="0A0645E8" w14:textId="77777777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88FE2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49D74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Target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94880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Audited report in 2023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F3CC7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Self-made Financial Statements 2023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B75E1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Difference</w:t>
            </w:r>
          </w:p>
        </w:tc>
      </w:tr>
      <w:tr w:rsidR="00AB6F18" w:rsidRPr="00130C4D" w14:paraId="2193D00D" w14:textId="77777777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490DA" w14:textId="77777777" w:rsidR="00AB6F18" w:rsidRPr="00130C4D" w:rsidRDefault="00AB6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5BE2F" w14:textId="77777777" w:rsidR="00AB6F18" w:rsidRPr="00130C4D" w:rsidRDefault="00AB6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DD362" w14:textId="77777777" w:rsidR="00AB6F18" w:rsidRPr="00130C4D" w:rsidRDefault="00AB6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34D4A" w14:textId="77777777" w:rsidR="00AB6F18" w:rsidRPr="00130C4D" w:rsidRDefault="00AB6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8F5F0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Value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FBAF4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%</w:t>
            </w:r>
          </w:p>
        </w:tc>
      </w:tr>
      <w:tr w:rsidR="00AB6F18" w:rsidRPr="00130C4D" w14:paraId="25B707AB" w14:textId="7777777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1390C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164F49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Profit after tax</w:t>
            </w:r>
          </w:p>
          <w:p w14:paraId="54EC79C3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Separate Financial Statements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80A4E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12,506,580,206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00B5B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13,707,095,122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084AA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-1,200,514,916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E4918" w14:textId="77777777" w:rsidR="00AB6F18" w:rsidRPr="00130C4D" w:rsidRDefault="00E9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130C4D">
              <w:rPr>
                <w:rFonts w:ascii="Arial" w:hAnsi="Arial"/>
                <w:bCs/>
                <w:color w:val="010000"/>
                <w:sz w:val="20"/>
              </w:rPr>
              <w:t>-8.76%</w:t>
            </w:r>
          </w:p>
        </w:tc>
      </w:tr>
    </w:tbl>
    <w:p w14:paraId="79ADFED0" w14:textId="77777777" w:rsidR="00AB6F18" w:rsidRPr="00130C4D" w:rsidRDefault="00AB6F18">
      <w:pPr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</w:p>
    <w:p w14:paraId="23156DA5" w14:textId="77777777" w:rsidR="00AB6F18" w:rsidRPr="00130C4D" w:rsidRDefault="00E931E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130C4D">
        <w:rPr>
          <w:rFonts w:ascii="Arial" w:hAnsi="Arial"/>
          <w:bCs/>
          <w:color w:val="010000"/>
          <w:sz w:val="20"/>
        </w:rPr>
        <w:t>Reasons:</w:t>
      </w:r>
    </w:p>
    <w:p w14:paraId="081C24FE" w14:textId="77777777" w:rsidR="00AB6F18" w:rsidRPr="00130C4D" w:rsidRDefault="00E931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130C4D">
        <w:rPr>
          <w:rFonts w:ascii="Arial" w:hAnsi="Arial"/>
          <w:bCs/>
          <w:color w:val="010000"/>
          <w:sz w:val="20"/>
        </w:rPr>
        <w:t>Profit after corporate income tax in 2023 of the audited separate Financial Statements for 2023 decreased by VND 1.20 billion, equivalent to a decrease of 8.76% compared to the self-prepared financial statements due to: financial expenses and general and a</w:t>
      </w:r>
      <w:r w:rsidRPr="00130C4D">
        <w:rPr>
          <w:rFonts w:ascii="Arial" w:hAnsi="Arial"/>
          <w:bCs/>
          <w:color w:val="010000"/>
          <w:sz w:val="20"/>
        </w:rPr>
        <w:t>dministrative expenses after the audit increased by VND 1.07 billion and VND 0.325 billion respectively, equivalent to an increase of 2.69% and 0.77% compared to the self-prepared figures.</w:t>
      </w:r>
    </w:p>
    <w:sectPr w:rsidR="00AB6F18" w:rsidRPr="00130C4D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6374"/>
    <w:multiLevelType w:val="multilevel"/>
    <w:tmpl w:val="42BED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5032"/>
    <w:multiLevelType w:val="multilevel"/>
    <w:tmpl w:val="C060BE5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2724020"/>
    <w:multiLevelType w:val="multilevel"/>
    <w:tmpl w:val="99D8A22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18"/>
    <w:rsid w:val="00130C4D"/>
    <w:rsid w:val="00452ECA"/>
    <w:rsid w:val="006B5546"/>
    <w:rsid w:val="006E4D62"/>
    <w:rsid w:val="00AB6F18"/>
    <w:rsid w:val="00E9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5948"/>
  <w15:docId w15:val="{B6EABC78-9A14-42E3-9E6D-1A36E3C6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CA1631"/>
      <w:sz w:val="32"/>
      <w:szCs w:val="32"/>
      <w:u w:val="none"/>
      <w:lang w:val="en-US" w:eastAsia="en-US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62" w:lineRule="auto"/>
      <w:ind w:firstLine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7"/>
      <w:szCs w:val="17"/>
    </w:rPr>
  </w:style>
  <w:style w:type="paragraph" w:customStyle="1" w:styleId="Tablecaption0">
    <w:name w:val="Table caption"/>
    <w:basedOn w:val="Normal"/>
    <w:link w:val="Tablecaption"/>
    <w:pPr>
      <w:spacing w:line="276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28" w:lineRule="auto"/>
      <w:jc w:val="right"/>
      <w:outlineLvl w:val="0"/>
    </w:pPr>
    <w:rPr>
      <w:rFonts w:ascii="Times New Roman" w:eastAsia="Times New Roman" w:hAnsi="Times New Roman" w:cs="Times New Roman"/>
      <w:smallCaps/>
      <w:color w:val="CA1631"/>
      <w:sz w:val="32"/>
      <w:szCs w:val="32"/>
      <w:lang w:eastAsia="en-US"/>
    </w:rPr>
  </w:style>
  <w:style w:type="paragraph" w:customStyle="1" w:styleId="Heading21">
    <w:name w:val="Heading #2"/>
    <w:basedOn w:val="Normal"/>
    <w:link w:val="Heading20"/>
    <w:pPr>
      <w:spacing w:line="262" w:lineRule="auto"/>
      <w:ind w:left="134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bPNfL7hQ5gC7KbgFV7/aus+oXw==">CgMxLjA4AHIhMTZaaTZ0LTZOSUpZWTJlODZRVTBDWjAtZmR4SEk0Wlpm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6</cp:revision>
  <dcterms:created xsi:type="dcterms:W3CDTF">2024-04-02T04:56:00Z</dcterms:created>
  <dcterms:modified xsi:type="dcterms:W3CDTF">2024-04-03T03:01:00Z</dcterms:modified>
</cp:coreProperties>
</file>