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29800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B70B9">
        <w:rPr>
          <w:rFonts w:ascii="Arial" w:hAnsi="Arial" w:cs="Arial"/>
          <w:b/>
          <w:color w:val="010000"/>
          <w:sz w:val="20"/>
        </w:rPr>
        <w:t>NSL: Annual General Mandate 2024</w:t>
      </w:r>
    </w:p>
    <w:p w14:paraId="31FE2E03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 xml:space="preserve">On March 29, 2024, Son La Water Supply Joint Stock Company announced General Mandate No. 01/NQ-DHDCD as follows: </w:t>
      </w:r>
    </w:p>
    <w:p w14:paraId="7F380626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‎‎Article 1. The General Shareholders Meeting of Son La Water Supply Joint Stock Company approves these following contents:</w:t>
      </w:r>
    </w:p>
    <w:p w14:paraId="2350D093" w14:textId="77777777" w:rsidR="00BA4634" w:rsidRPr="00EB70B9" w:rsidRDefault="006E0DC4" w:rsidP="006E0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Report of the Board of Directors on duty implementation results in 2023 and operating orientation for 2024.</w:t>
      </w:r>
    </w:p>
    <w:p w14:paraId="6E5E591D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The production and business results in 2023 and plan for 2024 of the Company with the following main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2"/>
        <w:gridCol w:w="3280"/>
        <w:gridCol w:w="931"/>
        <w:gridCol w:w="1989"/>
        <w:gridCol w:w="2005"/>
      </w:tblGrid>
      <w:tr w:rsidR="00BA4634" w:rsidRPr="00EB70B9" w14:paraId="1C2AC591" w14:textId="77777777" w:rsidTr="006E0DC4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D92D7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70BC3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B0085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FCF7F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82B88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BA4634" w:rsidRPr="00EB70B9" w14:paraId="21B15DC5" w14:textId="77777777" w:rsidTr="006E0DC4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A1841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14184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Commercial water output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B3EDE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7A34B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11,643,397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02327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11,716,000</w:t>
            </w:r>
          </w:p>
        </w:tc>
      </w:tr>
      <w:tr w:rsidR="00BA4634" w:rsidRPr="00EB70B9" w14:paraId="23595246" w14:textId="77777777" w:rsidTr="006E0DC4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716CC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26DD9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CDA39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CA5FB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134,513,548,166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86FE4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135,465,588,000</w:t>
            </w:r>
          </w:p>
        </w:tc>
      </w:tr>
      <w:tr w:rsidR="00BA4634" w:rsidRPr="00EB70B9" w14:paraId="68C87CD2" w14:textId="77777777" w:rsidTr="006E0DC4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6161B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AD902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3FB58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E1BBC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16,985,373,034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AE10C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20,438,719,868</w:t>
            </w:r>
          </w:p>
        </w:tc>
      </w:tr>
      <w:tr w:rsidR="00BA4634" w:rsidRPr="00EB70B9" w14:paraId="5687ED11" w14:textId="77777777" w:rsidTr="006E0DC4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980F8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58D86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Dividend/Charter capital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32904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96866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14.5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70B44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0 (Increase in charter capital)</w:t>
            </w:r>
          </w:p>
        </w:tc>
      </w:tr>
    </w:tbl>
    <w:p w14:paraId="379E9C50" w14:textId="77777777" w:rsidR="00BA4634" w:rsidRPr="00EB70B9" w:rsidRDefault="006E0DC4" w:rsidP="006E0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Report of the Supervisory Board on the duty results in 2023 and operating plan for 2024.</w:t>
      </w:r>
    </w:p>
    <w:p w14:paraId="5ADF7B8F" w14:textId="77777777" w:rsidR="00BA4634" w:rsidRPr="00EB70B9" w:rsidRDefault="006E0DC4" w:rsidP="006E0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B70B9">
        <w:rPr>
          <w:rFonts w:ascii="Arial" w:hAnsi="Arial" w:cs="Arial"/>
          <w:sz w:val="20"/>
        </w:rPr>
        <w:t>Audited Financial Statements 2023.</w:t>
      </w:r>
    </w:p>
    <w:p w14:paraId="4A93F643" w14:textId="77777777" w:rsidR="00BA4634" w:rsidRPr="00EB70B9" w:rsidRDefault="006E0DC4" w:rsidP="006E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Plan for profit distribution in 2023 and transferring the bonus fund and undistributed profit to the investment fund.</w:t>
      </w:r>
    </w:p>
    <w:tbl>
      <w:tblPr>
        <w:tblStyle w:val="a0"/>
        <w:tblpPr w:leftFromText="180" w:rightFromText="180" w:topFromText="180" w:bottomFromText="180" w:vertAnchor="text" w:tblpX="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5493"/>
        <w:gridCol w:w="2718"/>
      </w:tblGrid>
      <w:tr w:rsidR="00BA4634" w:rsidRPr="00EB70B9" w14:paraId="0B462C08" w14:textId="77777777" w:rsidTr="006E0DC4">
        <w:tc>
          <w:tcPr>
            <w:tcW w:w="447" w:type="pct"/>
            <w:shd w:val="clear" w:color="auto" w:fill="auto"/>
            <w:vAlign w:val="center"/>
          </w:tcPr>
          <w:p w14:paraId="295B55F6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2FFD8E3E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46AC21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2023 (VND)</w:t>
            </w:r>
          </w:p>
        </w:tc>
      </w:tr>
      <w:tr w:rsidR="00BA4634" w:rsidRPr="00EB70B9" w14:paraId="450320F4" w14:textId="77777777" w:rsidTr="006E0DC4">
        <w:tc>
          <w:tcPr>
            <w:tcW w:w="447" w:type="pct"/>
            <w:shd w:val="clear" w:color="auto" w:fill="auto"/>
            <w:vAlign w:val="center"/>
          </w:tcPr>
          <w:p w14:paraId="1E13F1AB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7E2B00E3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Charter capital of the Company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2CE0783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</w:tr>
      <w:tr w:rsidR="00BA4634" w:rsidRPr="00EB70B9" w14:paraId="2E8CA121" w14:textId="77777777" w:rsidTr="006E0DC4">
        <w:tc>
          <w:tcPr>
            <w:tcW w:w="447" w:type="pct"/>
            <w:shd w:val="clear" w:color="auto" w:fill="auto"/>
            <w:vAlign w:val="center"/>
          </w:tcPr>
          <w:p w14:paraId="24140DDA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30643C89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Profit transferred from 2022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0733388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9,546,077,138</w:t>
            </w:r>
          </w:p>
        </w:tc>
      </w:tr>
      <w:tr w:rsidR="00BA4634" w:rsidRPr="00EB70B9" w14:paraId="2112640A" w14:textId="77777777" w:rsidTr="006E0DC4">
        <w:tc>
          <w:tcPr>
            <w:tcW w:w="447" w:type="pct"/>
            <w:shd w:val="clear" w:color="auto" w:fill="auto"/>
            <w:vAlign w:val="center"/>
          </w:tcPr>
          <w:p w14:paraId="640E35B8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102FBFAB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2D8C536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16,985,373,034</w:t>
            </w:r>
          </w:p>
        </w:tc>
      </w:tr>
      <w:tr w:rsidR="00BA4634" w:rsidRPr="00EB70B9" w14:paraId="10F85369" w14:textId="77777777" w:rsidTr="006E0DC4">
        <w:tc>
          <w:tcPr>
            <w:tcW w:w="447" w:type="pct"/>
            <w:shd w:val="clear" w:color="auto" w:fill="auto"/>
            <w:vAlign w:val="center"/>
          </w:tcPr>
          <w:p w14:paraId="599488AE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324C6C21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Profit for distribution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8DCFD90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26,531,450,172</w:t>
            </w:r>
          </w:p>
        </w:tc>
      </w:tr>
      <w:tr w:rsidR="00BA4634" w:rsidRPr="00EB70B9" w14:paraId="3B1A1617" w14:textId="77777777" w:rsidTr="006E0DC4">
        <w:tc>
          <w:tcPr>
            <w:tcW w:w="447" w:type="pct"/>
            <w:shd w:val="clear" w:color="auto" w:fill="auto"/>
            <w:vAlign w:val="center"/>
          </w:tcPr>
          <w:p w14:paraId="21A48B4F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408116F6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35ABD3A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BA4634" w:rsidRPr="00EB70B9" w14:paraId="672F7A01" w14:textId="77777777" w:rsidTr="006E0DC4">
        <w:tc>
          <w:tcPr>
            <w:tcW w:w="447" w:type="pct"/>
            <w:shd w:val="clear" w:color="auto" w:fill="auto"/>
            <w:vAlign w:val="center"/>
          </w:tcPr>
          <w:p w14:paraId="72CE36C9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6C18B354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Dividend payment (14.5 % of charter capital)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AA49687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14,499,795,550</w:t>
            </w:r>
          </w:p>
        </w:tc>
      </w:tr>
      <w:tr w:rsidR="00BA4634" w:rsidRPr="00EB70B9" w14:paraId="66ECD8B2" w14:textId="77777777" w:rsidTr="006E0DC4">
        <w:tc>
          <w:tcPr>
            <w:tcW w:w="447" w:type="pct"/>
            <w:shd w:val="clear" w:color="auto" w:fill="auto"/>
            <w:vAlign w:val="center"/>
          </w:tcPr>
          <w:p w14:paraId="236864B6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76EC669E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First prepayment: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629A6B2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9,998,590,000</w:t>
            </w:r>
          </w:p>
        </w:tc>
      </w:tr>
      <w:tr w:rsidR="00BA4634" w:rsidRPr="00EB70B9" w14:paraId="4CFCCFAD" w14:textId="77777777" w:rsidTr="006E0DC4">
        <w:tc>
          <w:tcPr>
            <w:tcW w:w="447" w:type="pct"/>
            <w:shd w:val="clear" w:color="auto" w:fill="auto"/>
            <w:vAlign w:val="center"/>
          </w:tcPr>
          <w:p w14:paraId="2742234B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2F50CD0A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Second payment: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9D6B579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4,501,205,550</w:t>
            </w:r>
          </w:p>
        </w:tc>
      </w:tr>
      <w:tr w:rsidR="00BA4634" w:rsidRPr="00EB70B9" w14:paraId="5074863B" w14:textId="77777777" w:rsidTr="006E0DC4">
        <w:tc>
          <w:tcPr>
            <w:tcW w:w="447" w:type="pct"/>
            <w:shd w:val="clear" w:color="auto" w:fill="auto"/>
            <w:vAlign w:val="center"/>
          </w:tcPr>
          <w:p w14:paraId="19B80F32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452BA17E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Dividends per share (VND/share)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5DF3EAF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1,450</w:t>
            </w:r>
          </w:p>
        </w:tc>
      </w:tr>
      <w:tr w:rsidR="00BA4634" w:rsidRPr="00EB70B9" w14:paraId="6AA7D5C6" w14:textId="77777777" w:rsidTr="006E0DC4">
        <w:tc>
          <w:tcPr>
            <w:tcW w:w="447" w:type="pct"/>
            <w:shd w:val="clear" w:color="auto" w:fill="auto"/>
            <w:vAlign w:val="center"/>
          </w:tcPr>
          <w:p w14:paraId="214E6A4A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58505F17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Remaining profit transferred to 2024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E5CD6C4" w14:textId="77777777" w:rsidR="00BA4634" w:rsidRPr="00EB70B9" w:rsidRDefault="006E0DC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12,031,654,622</w:t>
            </w:r>
          </w:p>
        </w:tc>
      </w:tr>
    </w:tbl>
    <w:p w14:paraId="43C0EC17" w14:textId="77777777" w:rsidR="00BA4634" w:rsidRPr="00EB70B9" w:rsidRDefault="006E0DC4" w:rsidP="006E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6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EB70B9">
        <w:rPr>
          <w:rFonts w:ascii="Arial" w:hAnsi="Arial" w:cs="Arial"/>
          <w:color w:val="010000"/>
          <w:sz w:val="20"/>
        </w:rPr>
        <w:t>Select an audit company for the Financial Statements 2024.</w:t>
      </w:r>
    </w:p>
    <w:p w14:paraId="5B2DFC0E" w14:textId="77777777" w:rsidR="00BA4634" w:rsidRPr="00EB70B9" w:rsidRDefault="006E0DC4" w:rsidP="006E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lastRenderedPageBreak/>
        <w:t>Approve the total realized remuneration in 2023 and approve the remuneration plan in 2024 of the Board of Directors, the Supervisory Board and the Secretariat.</w:t>
      </w:r>
    </w:p>
    <w:p w14:paraId="0E2B8CCA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 xml:space="preserve">2023 Results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"/>
        <w:gridCol w:w="3836"/>
        <w:gridCol w:w="2483"/>
        <w:gridCol w:w="2126"/>
      </w:tblGrid>
      <w:tr w:rsidR="00BA4634" w:rsidRPr="00EB70B9" w14:paraId="30D2DC1C" w14:textId="77777777" w:rsidTr="006E0DC4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4E3D8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5B3BB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CD3BE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 xml:space="preserve">2023 Plan </w:t>
            </w:r>
            <w:r w:rsidRPr="00EB70B9">
              <w:rPr>
                <w:rFonts w:ascii="Arial" w:hAnsi="Arial" w:cs="Arial"/>
                <w:color w:val="010000"/>
                <w:sz w:val="20"/>
              </w:rPr>
              <w:br/>
              <w:t>VND/month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3EC74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2023 Results</w:t>
            </w:r>
            <w:r w:rsidRPr="00EB70B9">
              <w:rPr>
                <w:rFonts w:ascii="Arial" w:hAnsi="Arial" w:cs="Arial"/>
                <w:color w:val="010000"/>
                <w:sz w:val="20"/>
              </w:rPr>
              <w:br/>
              <w:t>VND/month</w:t>
            </w:r>
          </w:p>
        </w:tc>
      </w:tr>
      <w:tr w:rsidR="00BA4634" w:rsidRPr="00EB70B9" w14:paraId="11C8A342" w14:textId="77777777" w:rsidTr="006E0DC4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2D9F7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0B0A0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Remuneration of the Board of Directors and the Secretariat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4A012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103,778,000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DCA5A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104,239,917</w:t>
            </w:r>
          </w:p>
        </w:tc>
      </w:tr>
      <w:tr w:rsidR="00BA4634" w:rsidRPr="00EB70B9" w14:paraId="205F456A" w14:textId="77777777" w:rsidTr="006E0DC4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BD62B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41C7F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Remuneration of the Supervisory Board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E4B0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23,333,000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328C1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23,333,000</w:t>
            </w:r>
          </w:p>
        </w:tc>
      </w:tr>
      <w:tr w:rsidR="00BA4634" w:rsidRPr="00EB70B9" w14:paraId="0899DCBB" w14:textId="77777777" w:rsidTr="006E0DC4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6AA0F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6BDEA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Bonus for the Board of Directors and the Supervisory Board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0AA41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04DEB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20,648,167</w:t>
            </w:r>
          </w:p>
        </w:tc>
      </w:tr>
      <w:tr w:rsidR="00BA4634" w:rsidRPr="00EB70B9" w14:paraId="6FB26CC9" w14:textId="77777777" w:rsidTr="006E0DC4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5B9CB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55BA5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97393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127,111,000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3B5CD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148,221,084</w:t>
            </w:r>
          </w:p>
        </w:tc>
      </w:tr>
    </w:tbl>
    <w:p w14:paraId="2B0449C4" w14:textId="77777777" w:rsidR="00BA4634" w:rsidRPr="00EB70B9" w:rsidRDefault="006E0DC4" w:rsidP="006E0DC4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2024 Plan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"/>
        <w:gridCol w:w="3793"/>
        <w:gridCol w:w="2498"/>
        <w:gridCol w:w="2126"/>
      </w:tblGrid>
      <w:tr w:rsidR="00BA4634" w:rsidRPr="00EB70B9" w14:paraId="054F0E51" w14:textId="77777777" w:rsidTr="006E0DC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EA9A9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FA0D9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A6040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2023 Results</w:t>
            </w:r>
            <w:r w:rsidRPr="00EB70B9">
              <w:rPr>
                <w:rFonts w:ascii="Arial" w:hAnsi="Arial" w:cs="Arial"/>
                <w:color w:val="010000"/>
                <w:sz w:val="20"/>
              </w:rPr>
              <w:br/>
              <w:t>VND/month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B52A9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 xml:space="preserve">2024 Plan </w:t>
            </w:r>
            <w:r w:rsidRPr="00EB70B9">
              <w:rPr>
                <w:rFonts w:ascii="Arial" w:hAnsi="Arial" w:cs="Arial"/>
                <w:color w:val="010000"/>
                <w:sz w:val="20"/>
              </w:rPr>
              <w:br/>
              <w:t>VND/month</w:t>
            </w:r>
          </w:p>
        </w:tc>
      </w:tr>
      <w:tr w:rsidR="00BA4634" w:rsidRPr="00EB70B9" w14:paraId="26D766BD" w14:textId="77777777" w:rsidTr="006E0DC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4E2A3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75D4F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Remuneration of the Board of Directors and the Secretariat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36E3A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104,239,917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86855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147,667,000</w:t>
            </w:r>
          </w:p>
        </w:tc>
      </w:tr>
      <w:tr w:rsidR="00BA4634" w:rsidRPr="00EB70B9" w14:paraId="581BBC7C" w14:textId="77777777" w:rsidTr="006E0DC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D1CAE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205A5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Remuneration of the Supervisory Board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F5AE3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23,333,000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EAF66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31,111,000</w:t>
            </w:r>
          </w:p>
        </w:tc>
      </w:tr>
      <w:tr w:rsidR="00BA4634" w:rsidRPr="00EB70B9" w14:paraId="726485D9" w14:textId="77777777" w:rsidTr="006E0DC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AD87C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FD50E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Additional bonuses for the Board of Directors and the Supervisory Board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D42EA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20,648,167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CFA21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A4634" w:rsidRPr="00EB70B9" w14:paraId="494C805B" w14:textId="77777777" w:rsidTr="006E0DC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FC913" w14:textId="77777777" w:rsidR="00BA4634" w:rsidRPr="00EB70B9" w:rsidRDefault="00BA4634" w:rsidP="006E0D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19F76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F6F9A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148,221,084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912A2" w14:textId="77777777" w:rsidR="00BA4634" w:rsidRPr="00EB70B9" w:rsidRDefault="006E0DC4" w:rsidP="006E0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70B9">
              <w:rPr>
                <w:rFonts w:ascii="Arial" w:hAnsi="Arial" w:cs="Arial"/>
                <w:color w:val="010000"/>
                <w:sz w:val="20"/>
              </w:rPr>
              <w:t>178,778,000</w:t>
            </w:r>
          </w:p>
        </w:tc>
      </w:tr>
    </w:tbl>
    <w:p w14:paraId="16E5030B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‎‎Article 2. This General Mandate takes effect from March 29, 2024.</w:t>
      </w:r>
    </w:p>
    <w:p w14:paraId="6AB28A9F" w14:textId="77777777" w:rsidR="00BA4634" w:rsidRPr="00EB70B9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70B9">
        <w:rPr>
          <w:rFonts w:ascii="Arial" w:hAnsi="Arial" w:cs="Arial"/>
          <w:color w:val="010000"/>
          <w:sz w:val="20"/>
        </w:rPr>
        <w:t>The Board of Directors is responsible for announcing the Annual General Mandate 2024 in accordance with the law on information disclosure.</w:t>
      </w:r>
    </w:p>
    <w:p w14:paraId="5E7CD67E" w14:textId="77777777" w:rsidR="00BA4634" w:rsidRPr="006E0DC4" w:rsidRDefault="006E0DC4" w:rsidP="006E0D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B70B9">
        <w:rPr>
          <w:rFonts w:ascii="Arial" w:hAnsi="Arial" w:cs="Arial"/>
          <w:color w:val="010000"/>
          <w:sz w:val="20"/>
        </w:rPr>
        <w:t>‎‎Article 3. The Board of Directors, the Supervisory Board and all shareholders of Son La Water Supply Joint Stock Company are responsible for the implementation of this General Mandate.</w:t>
      </w:r>
    </w:p>
    <w:sectPr w:rsidR="00BA4634" w:rsidRPr="006E0DC4" w:rsidSect="006E0D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143DD"/>
    <w:multiLevelType w:val="multilevel"/>
    <w:tmpl w:val="649AFA1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620239"/>
    <w:multiLevelType w:val="multilevel"/>
    <w:tmpl w:val="0B4818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4"/>
    <w:rsid w:val="002131D4"/>
    <w:rsid w:val="006E0DC4"/>
    <w:rsid w:val="00BA4634"/>
    <w:rsid w:val="00E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C4CBB"/>
  <w15:docId w15:val="{0851F743-30B3-44FE-ACDC-C69C37D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223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Ghichcuitrang0">
    <w:name w:val="Ghi chú cuối trang"/>
    <w:basedOn w:val="Normal"/>
    <w:link w:val="Ghichcuitrang"/>
    <w:pPr>
      <w:spacing w:line="266" w:lineRule="auto"/>
      <w:ind w:left="1080" w:firstLine="2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spacing w:line="264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82230"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194" w:lineRule="auto"/>
    </w:pPr>
    <w:rPr>
      <w:rFonts w:ascii="Arial" w:eastAsia="Arial" w:hAnsi="Arial" w:cs="Arial"/>
      <w:sz w:val="17"/>
      <w:szCs w:val="17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286" w:lineRule="auto"/>
      <w:ind w:firstLine="6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1E0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91RNCzLGCzVvj4JciFkzp/kz0Q==">CgMxLjAyCGguZ2pkZ3hzOAByITF0NVY5RDRIMmpSUUtUQ3Z5WmRiRTlpcGptdWNDSWIyZw==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2024-04-03T07:14:00Z</dcterms:created>
  <dcterms:modified xsi:type="dcterms:W3CDTF">2024-04-03T07:14:00Z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62d99512959d37a6709535e53f736ed5992361430aab306b435cad4b0d5104bc</vt:lpwstr>
  </property>
</Properties>
</file>