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1652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539DE">
        <w:rPr>
          <w:rFonts w:ascii="Arial" w:hAnsi="Arial" w:cs="Arial"/>
          <w:b/>
          <w:color w:val="010000"/>
          <w:sz w:val="20"/>
        </w:rPr>
        <w:t>PCF: Annual General Mandate 2024</w:t>
      </w:r>
    </w:p>
    <w:p w14:paraId="18EDFA98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 xml:space="preserve">On March 27, 2024, </w:t>
      </w:r>
      <w:proofErr w:type="spellStart"/>
      <w:r w:rsidRPr="006539DE">
        <w:rPr>
          <w:rFonts w:ascii="Arial" w:hAnsi="Arial" w:cs="Arial"/>
          <w:color w:val="010000"/>
          <w:sz w:val="20"/>
        </w:rPr>
        <w:t>Petec</w:t>
      </w:r>
      <w:proofErr w:type="spellEnd"/>
      <w:r w:rsidRPr="006539DE">
        <w:rPr>
          <w:rFonts w:ascii="Arial" w:hAnsi="Arial" w:cs="Arial"/>
          <w:color w:val="010000"/>
          <w:sz w:val="20"/>
        </w:rPr>
        <w:t xml:space="preserve"> Coffee Joint Stock Company announced General Mandate No. 000045/NQ-PCF as follows: </w:t>
      </w:r>
    </w:p>
    <w:p w14:paraId="7CB35289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‎‎Article 1. Approve Reports and Proposals according to the agenda of the General Meeting of Shareholders, specifically:</w:t>
      </w:r>
    </w:p>
    <w:p w14:paraId="06725041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Approve the production and business results in 2023 and the production and business plan for 2024:</w:t>
      </w:r>
    </w:p>
    <w:p w14:paraId="6A7D721A" w14:textId="77777777" w:rsidR="000227E7" w:rsidRPr="006539DE" w:rsidRDefault="00BA7D9D" w:rsidP="00BA7D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Approve production and business results in 2023, in which:</w:t>
      </w:r>
    </w:p>
    <w:p w14:paraId="698F3AE4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Revenue: VND 203.9 billion.</w:t>
      </w:r>
    </w:p>
    <w:p w14:paraId="36D328CD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Profit after tax: VND 0.207 billion.</w:t>
      </w:r>
    </w:p>
    <w:p w14:paraId="5DD1107F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Salary fund appropriated annually: VND 2.1 billion.</w:t>
      </w:r>
    </w:p>
    <w:p w14:paraId="3872B1AD" w14:textId="77777777" w:rsidR="000227E7" w:rsidRPr="006539DE" w:rsidRDefault="00BA7D9D" w:rsidP="00BA7D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Approve production and business plan for 2024, in which:</w:t>
      </w:r>
    </w:p>
    <w:p w14:paraId="23171603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Revenue: VND 200 billion.</w:t>
      </w:r>
    </w:p>
    <w:p w14:paraId="47B4349A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Expenses: VND 7 billion.</w:t>
      </w:r>
    </w:p>
    <w:p w14:paraId="6752C4AB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Profit before tax: VND 0.2 billion</w:t>
      </w:r>
    </w:p>
    <w:p w14:paraId="6D4FD452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Salary fund: VND 2.4 billion.</w:t>
      </w:r>
    </w:p>
    <w:p w14:paraId="2A9145D3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Approve the Report of the Board of Directors at the Annual General Meeting of Shareholders 2024.</w:t>
      </w:r>
    </w:p>
    <w:p w14:paraId="22308932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Approve the Report of the Supervisory Board at the Annual General Meeting of Shareholders 2024.</w:t>
      </w:r>
    </w:p>
    <w:p w14:paraId="3B0BF8F7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Proposal on approving the Audited Financial Statements 2023;</w:t>
      </w:r>
    </w:p>
    <w:p w14:paraId="555ADF3D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Proposal on approving the profit distribution plan in 2023.</w:t>
      </w:r>
    </w:p>
    <w:p w14:paraId="1A331A41" w14:textId="77777777" w:rsidR="000227E7" w:rsidRPr="006539DE" w:rsidRDefault="00BA7D9D" w:rsidP="00BA7D9D">
      <w:pPr>
        <w:tabs>
          <w:tab w:val="left" w:pos="432"/>
          <w:tab w:val="left" w:pos="14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33"/>
        <w:gridCol w:w="5789"/>
        <w:gridCol w:w="2489"/>
      </w:tblGrid>
      <w:tr w:rsidR="000227E7" w:rsidRPr="006539DE" w14:paraId="631AA31F" w14:textId="77777777" w:rsidTr="00BA7D9D"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E317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2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BB06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D4EE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0227E7" w:rsidRPr="006539DE" w14:paraId="62E1BEA9" w14:textId="77777777" w:rsidTr="00BA7D9D"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D559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2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7F31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Undistributed profit after tax as of December 31, 2022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35B3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(23,602,085,443)</w:t>
            </w:r>
          </w:p>
        </w:tc>
      </w:tr>
      <w:tr w:rsidR="000227E7" w:rsidRPr="006539DE" w14:paraId="6C69D078" w14:textId="77777777" w:rsidTr="00BA7D9D"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40CD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2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9F10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Profit before tax in 2023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F132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207,482,884</w:t>
            </w:r>
          </w:p>
        </w:tc>
      </w:tr>
      <w:tr w:rsidR="000227E7" w:rsidRPr="006539DE" w14:paraId="5E65288F" w14:textId="77777777" w:rsidTr="00BA7D9D"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8C79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2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C19D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Corporate income tax in 2023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A50F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0227E7" w:rsidRPr="006539DE" w14:paraId="2F55AC64" w14:textId="77777777" w:rsidTr="00BA7D9D"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D661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2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3EAD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3ADB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207,482,884</w:t>
            </w:r>
          </w:p>
        </w:tc>
      </w:tr>
      <w:tr w:rsidR="000227E7" w:rsidRPr="006539DE" w14:paraId="53A90035" w14:textId="77777777" w:rsidTr="00BA7D9D"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4116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2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AAC7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Undistributed profit after tax as of December 31, 2023</w:t>
            </w:r>
          </w:p>
        </w:tc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8091" w14:textId="77777777" w:rsidR="000227E7" w:rsidRPr="006539DE" w:rsidRDefault="00BA7D9D" w:rsidP="00BA7D9D">
            <w:pPr>
              <w:tabs>
                <w:tab w:val="left" w:pos="432"/>
                <w:tab w:val="left" w:pos="14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9DE">
              <w:rPr>
                <w:rFonts w:ascii="Arial" w:hAnsi="Arial" w:cs="Arial"/>
                <w:color w:val="010000"/>
                <w:sz w:val="20"/>
              </w:rPr>
              <w:t>(23,394,602,559)</w:t>
            </w:r>
          </w:p>
        </w:tc>
      </w:tr>
    </w:tbl>
    <w:p w14:paraId="1579E0AD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Proposal on approving the remuneration settlement in 2023 and the remuneration plan for 2024 of the Board of Directors and the Supervisory Board.</w:t>
      </w:r>
    </w:p>
    <w:p w14:paraId="7FAD0424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lastRenderedPageBreak/>
        <w:t>Proposal on approving the selection of an independent audit company to audit the Financial Statements 2024.</w:t>
      </w:r>
    </w:p>
    <w:p w14:paraId="2B84DB3B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 xml:space="preserve">Proposal on approving contracts and transactions between </w:t>
      </w:r>
      <w:proofErr w:type="spellStart"/>
      <w:r w:rsidRPr="006539DE">
        <w:rPr>
          <w:rFonts w:ascii="Arial" w:hAnsi="Arial" w:cs="Arial"/>
          <w:color w:val="010000"/>
          <w:sz w:val="20"/>
        </w:rPr>
        <w:t>Petec</w:t>
      </w:r>
      <w:proofErr w:type="spellEnd"/>
      <w:r w:rsidRPr="006539DE">
        <w:rPr>
          <w:rFonts w:ascii="Arial" w:hAnsi="Arial" w:cs="Arial"/>
          <w:color w:val="010000"/>
          <w:sz w:val="20"/>
        </w:rPr>
        <w:t xml:space="preserve"> Coffee Joint Stock Company and </w:t>
      </w:r>
      <w:proofErr w:type="spellStart"/>
      <w:r w:rsidRPr="006539DE">
        <w:rPr>
          <w:rFonts w:ascii="Arial" w:hAnsi="Arial" w:cs="Arial"/>
          <w:color w:val="010000"/>
          <w:sz w:val="20"/>
        </w:rPr>
        <w:t>Petec</w:t>
      </w:r>
      <w:proofErr w:type="spellEnd"/>
      <w:r w:rsidRPr="006539DE">
        <w:rPr>
          <w:rFonts w:ascii="Arial" w:hAnsi="Arial" w:cs="Arial"/>
          <w:color w:val="010000"/>
          <w:sz w:val="20"/>
        </w:rPr>
        <w:t xml:space="preserve"> Trading and Investment Corporation.</w:t>
      </w:r>
    </w:p>
    <w:p w14:paraId="22DB2D8B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Proposal on approving the plan for handling overdue interest and penalty interest of Dong A Bank.</w:t>
      </w:r>
    </w:p>
    <w:p w14:paraId="4D6EEF6F" w14:textId="77777777" w:rsidR="000227E7" w:rsidRPr="006539DE" w:rsidRDefault="00BA7D9D" w:rsidP="00BA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Approve the removal of the Company logo on the Company website, documents containing the logo and the Company's Charter.</w:t>
      </w:r>
    </w:p>
    <w:p w14:paraId="33E4492C" w14:textId="77777777" w:rsidR="000227E7" w:rsidRPr="006539DE" w:rsidRDefault="00BA7D9D" w:rsidP="00BA7D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>‎‎Article 2. The General Meeting of Shareholders approves the full text of the Minutes of the Annual General Meeting of Shareholders 2024.</w:t>
      </w:r>
    </w:p>
    <w:p w14:paraId="57D7DA46" w14:textId="77777777" w:rsidR="000227E7" w:rsidRPr="00BA7D9D" w:rsidRDefault="00BA7D9D" w:rsidP="00BA7D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39DE">
        <w:rPr>
          <w:rFonts w:ascii="Arial" w:hAnsi="Arial" w:cs="Arial"/>
          <w:color w:val="010000"/>
          <w:sz w:val="20"/>
        </w:rPr>
        <w:t xml:space="preserve">‎‎Article 3. This General Mandate takes effect from the date of its signing. The Board of Directors, the Supervisory Board and the Executive Board of </w:t>
      </w:r>
      <w:proofErr w:type="spellStart"/>
      <w:r w:rsidRPr="006539DE">
        <w:rPr>
          <w:rFonts w:ascii="Arial" w:hAnsi="Arial" w:cs="Arial"/>
          <w:color w:val="010000"/>
          <w:sz w:val="20"/>
        </w:rPr>
        <w:t>Petec</w:t>
      </w:r>
      <w:proofErr w:type="spellEnd"/>
      <w:r w:rsidRPr="006539DE">
        <w:rPr>
          <w:rFonts w:ascii="Arial" w:hAnsi="Arial" w:cs="Arial"/>
          <w:color w:val="010000"/>
          <w:sz w:val="20"/>
        </w:rPr>
        <w:t xml:space="preserve"> Coffee Joint Stock Company are responsible for implementing this General Mandate.</w:t>
      </w:r>
    </w:p>
    <w:sectPr w:rsidR="000227E7" w:rsidRPr="00BA7D9D" w:rsidSect="00BA7D9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9F0"/>
    <w:multiLevelType w:val="multilevel"/>
    <w:tmpl w:val="CB5AE3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7"/>
    <w:rsid w:val="000227E7"/>
    <w:rsid w:val="006539DE"/>
    <w:rsid w:val="0084188B"/>
    <w:rsid w:val="00B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F8878"/>
  <w15:docId w15:val="{0851F743-30B3-44FE-ACDC-C69C37D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75E6D"/>
      <w:sz w:val="18"/>
      <w:szCs w:val="1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sz w:val="88"/>
      <w:szCs w:val="8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D75E6D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color w:val="D75E6D"/>
      <w:sz w:val="62"/>
      <w:szCs w:val="6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41">
    <w:name w:val="Heading #4"/>
    <w:basedOn w:val="Normal"/>
    <w:link w:val="Heading40"/>
    <w:pPr>
      <w:spacing w:line="305" w:lineRule="auto"/>
      <w:ind w:firstLine="540"/>
      <w:outlineLvl w:val="3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D75E6D"/>
      <w:sz w:val="18"/>
      <w:szCs w:val="18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52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Heading11">
    <w:name w:val="Heading #1"/>
    <w:basedOn w:val="Normal"/>
    <w:link w:val="Heading10"/>
    <w:pPr>
      <w:spacing w:line="209" w:lineRule="auto"/>
      <w:outlineLvl w:val="0"/>
    </w:pPr>
    <w:rPr>
      <w:sz w:val="88"/>
      <w:szCs w:val="8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Normal"/>
    <w:link w:val="Bodytext6"/>
    <w:pPr>
      <w:ind w:firstLine="440"/>
    </w:pPr>
    <w:rPr>
      <w:rFonts w:ascii="Arial" w:eastAsia="Arial" w:hAnsi="Arial" w:cs="Arial"/>
      <w:b/>
      <w:bCs/>
      <w:color w:val="D75E6D"/>
      <w:sz w:val="28"/>
      <w:szCs w:val="28"/>
    </w:rPr>
  </w:style>
  <w:style w:type="paragraph" w:customStyle="1" w:styleId="Other0">
    <w:name w:val="Other"/>
    <w:basedOn w:val="Normal"/>
    <w:link w:val="Other"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pPr>
      <w:spacing w:line="192" w:lineRule="auto"/>
      <w:jc w:val="right"/>
    </w:pPr>
    <w:rPr>
      <w:rFonts w:ascii="Arial" w:eastAsia="Arial" w:hAnsi="Arial" w:cs="Arial"/>
      <w:color w:val="D75E6D"/>
      <w:sz w:val="62"/>
      <w:szCs w:val="6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6sx6D1VbGmpfGlIrM3wudYfrsw==">CgMxLjA4AHIhMTl2UmxGTjMtYnI3aVNENmNnb2lqbWhuOEFLS3J0dl84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2024-04-03T07:16:00Z</dcterms:created>
  <dcterms:modified xsi:type="dcterms:W3CDTF">2024-04-03T07:16:00Z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27719950389337179fa6b03e1be83cdc6b45c057149b897a9b0926fb61d521ed</vt:lpwstr>
  </property>
</Properties>
</file>