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137D" w:rsidRDefault="001D778A" w:rsidP="001D77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>
        <w:rPr>
          <w:rFonts w:ascii="Arial" w:hAnsi="Arial"/>
          <w:b/>
          <w:color w:val="010000"/>
          <w:sz w:val="20"/>
        </w:rPr>
        <w:t>PPP: Board Resolution</w:t>
      </w:r>
    </w:p>
    <w:p w14:paraId="00000002" w14:textId="77777777" w:rsidR="002C137D" w:rsidRDefault="001D778A" w:rsidP="001D77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27, 2024, </w:t>
      </w:r>
      <w:proofErr w:type="spellStart"/>
      <w:r>
        <w:rPr>
          <w:rFonts w:ascii="Arial" w:hAnsi="Arial"/>
          <w:color w:val="010000"/>
          <w:sz w:val="20"/>
        </w:rPr>
        <w:t>Phong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Pharmaceutical JSC announced Board Resolution No. 0424/NQ-HDQT.PP on approving the agenda of the Annual General Meeting of Shareholders 2024 as follows:</w:t>
      </w:r>
    </w:p>
    <w:p w14:paraId="00000003" w14:textId="77777777" w:rsidR="002C137D" w:rsidRDefault="001D778A" w:rsidP="001D77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Approve the plan to organize the Annual General Meeting of Shareholders 2024, specifically as follows:</w:t>
      </w:r>
    </w:p>
    <w:p w14:paraId="00000004" w14:textId="77777777" w:rsidR="002C137D" w:rsidRDefault="001D778A" w:rsidP="001D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08:30 am, Friday, April 19, 2024</w:t>
      </w:r>
    </w:p>
    <w:p w14:paraId="00000005" w14:textId="77777777" w:rsidR="002C137D" w:rsidRDefault="001D778A" w:rsidP="001D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Venue: Meeting hall of the Company's head office</w:t>
      </w:r>
    </w:p>
    <w:p w14:paraId="00000006" w14:textId="77777777" w:rsidR="002C137D" w:rsidRDefault="001D778A" w:rsidP="001D77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>Approve the contents of the Meeting, including:</w:t>
      </w:r>
    </w:p>
    <w:p w14:paraId="00000007" w14:textId="77777777" w:rsidR="002C137D" w:rsidRDefault="001D778A" w:rsidP="001D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Report of the Board of Directors on </w:t>
      </w:r>
      <w:proofErr w:type="spellStart"/>
      <w:r>
        <w:rPr>
          <w:rFonts w:ascii="Arial" w:hAnsi="Arial"/>
          <w:color w:val="010000"/>
          <w:sz w:val="20"/>
        </w:rPr>
        <w:t>on</w:t>
      </w:r>
      <w:proofErr w:type="spellEnd"/>
      <w:r>
        <w:rPr>
          <w:rFonts w:ascii="Arial" w:hAnsi="Arial"/>
          <w:color w:val="010000"/>
          <w:sz w:val="20"/>
        </w:rPr>
        <w:t xml:space="preserve"> the operating results in 2023 and the operating orientation for 2024.</w:t>
      </w:r>
      <w:r>
        <w:rPr>
          <w:rFonts w:ascii="Arial" w:hAnsi="Arial"/>
          <w:color w:val="010000"/>
          <w:sz w:val="20"/>
        </w:rPr>
        <w:t xml:space="preserve"> Report of the independent member of the Board of Directors on the activities of the Board of Directors in 2023</w:t>
      </w:r>
    </w:p>
    <w:p w14:paraId="00000008" w14:textId="77777777" w:rsidR="002C137D" w:rsidRDefault="001D778A" w:rsidP="001D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Supervisory Board on t</w:t>
      </w:r>
      <w:r>
        <w:rPr>
          <w:rFonts w:ascii="Arial" w:hAnsi="Arial"/>
          <w:color w:val="010000"/>
          <w:sz w:val="20"/>
        </w:rPr>
        <w:t>he activities in 2023.</w:t>
      </w:r>
    </w:p>
    <w:p w14:paraId="00000009" w14:textId="77777777" w:rsidR="002C137D" w:rsidRDefault="001D778A" w:rsidP="001D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 the Audited Consolidated Financial Statements in 2023.</w:t>
      </w:r>
    </w:p>
    <w:p w14:paraId="0000000A" w14:textId="77777777" w:rsidR="002C137D" w:rsidRDefault="001D778A" w:rsidP="001D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selecting an independent audit company for the fiscal year of 2024.</w:t>
      </w:r>
    </w:p>
    <w:p w14:paraId="0000000B" w14:textId="77777777" w:rsidR="002C137D" w:rsidRDefault="001D778A" w:rsidP="001D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profit distribution of 2023 and plan on appropriation for funds for 2024.</w:t>
      </w:r>
    </w:p>
    <w:p w14:paraId="0000000C" w14:textId="77777777" w:rsidR="002C137D" w:rsidRDefault="001D778A" w:rsidP="001D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 the remuneration for members of the Board of Directors and the Supervisory Board in 2024.</w:t>
      </w:r>
    </w:p>
    <w:p w14:paraId="0000000D" w14:textId="77777777" w:rsidR="002C137D" w:rsidRDefault="001D778A" w:rsidP="001D77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Approve the list of personnel assigned to org</w:t>
      </w:r>
      <w:r>
        <w:rPr>
          <w:rFonts w:ascii="Arial" w:hAnsi="Arial"/>
          <w:color w:val="010000"/>
          <w:sz w:val="20"/>
        </w:rPr>
        <w:t>anize and chair the Meeting</w:t>
      </w:r>
    </w:p>
    <w:p w14:paraId="0000000E" w14:textId="77777777" w:rsidR="002C137D" w:rsidRDefault="001D778A" w:rsidP="001D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Chair of the Meeting</w:t>
      </w:r>
    </w:p>
    <w:p w14:paraId="0000000F" w14:textId="77777777" w:rsidR="002C137D" w:rsidRDefault="001D778A" w:rsidP="001D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Secretariat</w:t>
      </w:r>
    </w:p>
    <w:p w14:paraId="00000010" w14:textId="77777777" w:rsidR="002C137D" w:rsidRDefault="001D778A" w:rsidP="001D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Shareholder's Eligibility Verification Committee</w:t>
      </w:r>
    </w:p>
    <w:p w14:paraId="00000011" w14:textId="77777777" w:rsidR="002C137D" w:rsidRDefault="001D778A" w:rsidP="001D77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4. </w:t>
      </w:r>
      <w:r>
        <w:rPr>
          <w:rFonts w:ascii="Arial" w:hAnsi="Arial"/>
          <w:color w:val="010000"/>
          <w:sz w:val="20"/>
        </w:rPr>
        <w:t>The Board of Directors, the Supervisory Board, the Board of Management, and head of relevant departments are responsible for implementing this Board Resolution.</w:t>
      </w:r>
    </w:p>
    <w:p w14:paraId="00000012" w14:textId="77777777" w:rsidR="002C137D" w:rsidRDefault="001D778A" w:rsidP="001D77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board Resolution takes effect from the date of signing.</w:t>
      </w:r>
      <w:bookmarkEnd w:id="1"/>
    </w:p>
    <w:sectPr w:rsidR="002C137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527"/>
    <w:multiLevelType w:val="multilevel"/>
    <w:tmpl w:val="91D2B7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5722BC"/>
    <w:multiLevelType w:val="multilevel"/>
    <w:tmpl w:val="639E3F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9A24E7"/>
    <w:multiLevelType w:val="multilevel"/>
    <w:tmpl w:val="E4B6BB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7D"/>
    <w:rsid w:val="001D778A"/>
    <w:rsid w:val="002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2E463-1214-434F-9AA0-51B612B2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UBRzG0EV164SRhy7VVRHkze9pg==">CgMxLjAyCGguZ2pkZ3hzOAByITE3dDg5SlZZaXFLTVhSdmFmdlhzeXhnSzRhN3Z2ZGxoZw==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2024-04-02T04:17:00Z</dcterms:created>
  <dcterms:modified xsi:type="dcterms:W3CDTF">2024-04-03T07:52:00Z</dcterms:modified>
</cp:coreProperties>
</file>