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3645"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b/>
          <w:color w:val="010000"/>
          <w:sz w:val="20"/>
          <w:szCs w:val="20"/>
        </w:rPr>
      </w:pPr>
      <w:r w:rsidRPr="007E5B70">
        <w:rPr>
          <w:rFonts w:ascii="Arial" w:hAnsi="Arial" w:cs="Arial"/>
          <w:b/>
          <w:color w:val="010000"/>
          <w:sz w:val="20"/>
        </w:rPr>
        <w:t>TAW: Board Resolution</w:t>
      </w:r>
    </w:p>
    <w:p w14:paraId="2F47D0B4" w14:textId="00477880"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 xml:space="preserve">On March 29, 2024, Trung </w:t>
      </w:r>
      <w:proofErr w:type="gramStart"/>
      <w:r w:rsidRPr="007E5B70">
        <w:rPr>
          <w:rFonts w:ascii="Arial" w:hAnsi="Arial" w:cs="Arial"/>
          <w:color w:val="010000"/>
          <w:sz w:val="20"/>
        </w:rPr>
        <w:t>An</w:t>
      </w:r>
      <w:proofErr w:type="gramEnd"/>
      <w:r w:rsidRPr="007E5B70">
        <w:rPr>
          <w:rFonts w:ascii="Arial" w:hAnsi="Arial" w:cs="Arial"/>
          <w:color w:val="010000"/>
          <w:sz w:val="20"/>
        </w:rPr>
        <w:t xml:space="preserve"> water supply joint stock company announced Resolution No. 37/NQ-TA-HDQT as follows:</w:t>
      </w:r>
    </w:p>
    <w:p w14:paraId="711E68D9"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1.</w:t>
      </w:r>
      <w:proofErr w:type="gramEnd"/>
      <w:r w:rsidRPr="007E5B70">
        <w:rPr>
          <w:rFonts w:ascii="Arial" w:hAnsi="Arial" w:cs="Arial"/>
          <w:color w:val="010000"/>
          <w:sz w:val="20"/>
        </w:rPr>
        <w:t xml:space="preserve"> Agree on the report summarizing the situation of production, business and construction investment activities in 2023 and planning tasks for 2024 (according to report No. 1725/BC-TA-KHVT dated March 22, 2024)</w:t>
      </w:r>
    </w:p>
    <w:p w14:paraId="36A93668"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2.</w:t>
      </w:r>
      <w:proofErr w:type="gramEnd"/>
      <w:r w:rsidRPr="007E5B70">
        <w:rPr>
          <w:rFonts w:ascii="Arial" w:hAnsi="Arial" w:cs="Arial"/>
          <w:color w:val="010000"/>
          <w:sz w:val="20"/>
        </w:rPr>
        <w:t xml:space="preserve"> Record the Report on the results of implementing tasks of production, business and construction investment in Q1, 2024 of the Executive Board (according to report No. 1724/BC-TA-KHVT dated March 22, 2024).</w:t>
      </w:r>
    </w:p>
    <w:p w14:paraId="14990B13"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3.</w:t>
      </w:r>
      <w:proofErr w:type="gramEnd"/>
      <w:r w:rsidRPr="007E5B70">
        <w:rPr>
          <w:rFonts w:ascii="Arial" w:hAnsi="Arial" w:cs="Arial"/>
          <w:color w:val="010000"/>
          <w:sz w:val="20"/>
        </w:rPr>
        <w:t xml:space="preserve"> Approve the Audited Financial Statements 2023 to submit to the Annual General Meeting of Shareholders 2024 with the following main indicators: </w:t>
      </w:r>
    </w:p>
    <w:tbl>
      <w:tblPr>
        <w:tblStyle w:val="a"/>
        <w:tblW w:w="5000" w:type="pct"/>
        <w:tblLook w:val="0000" w:firstRow="0" w:lastRow="0" w:firstColumn="0" w:lastColumn="0" w:noHBand="0" w:noVBand="0"/>
      </w:tblPr>
      <w:tblGrid>
        <w:gridCol w:w="716"/>
        <w:gridCol w:w="4511"/>
        <w:gridCol w:w="905"/>
        <w:gridCol w:w="2915"/>
      </w:tblGrid>
      <w:tr w:rsidR="00FB5CC1" w:rsidRPr="007E5B70" w14:paraId="588B7262" w14:textId="77777777" w:rsidTr="007E5B70">
        <w:tc>
          <w:tcPr>
            <w:tcW w:w="396" w:type="pct"/>
            <w:tcBorders>
              <w:top w:val="single" w:sz="4" w:space="0" w:color="000000"/>
              <w:left w:val="single" w:sz="4" w:space="0" w:color="000000"/>
            </w:tcBorders>
            <w:shd w:val="clear" w:color="auto" w:fill="auto"/>
            <w:tcMar>
              <w:top w:w="0" w:type="dxa"/>
              <w:bottom w:w="0" w:type="dxa"/>
            </w:tcMar>
            <w:vAlign w:val="center"/>
          </w:tcPr>
          <w:p w14:paraId="4E4AA2D5"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No.</w:t>
            </w:r>
          </w:p>
        </w:tc>
        <w:tc>
          <w:tcPr>
            <w:tcW w:w="2493" w:type="pct"/>
            <w:tcBorders>
              <w:top w:val="single" w:sz="4" w:space="0" w:color="000000"/>
              <w:left w:val="single" w:sz="4" w:space="0" w:color="000000"/>
            </w:tcBorders>
            <w:shd w:val="clear" w:color="auto" w:fill="auto"/>
            <w:tcMar>
              <w:top w:w="0" w:type="dxa"/>
              <w:bottom w:w="0" w:type="dxa"/>
            </w:tcMar>
            <w:vAlign w:val="center"/>
          </w:tcPr>
          <w:p w14:paraId="2055916F"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Target</w:t>
            </w:r>
          </w:p>
        </w:tc>
        <w:tc>
          <w:tcPr>
            <w:tcW w:w="500" w:type="pct"/>
            <w:tcBorders>
              <w:top w:val="single" w:sz="4" w:space="0" w:color="000000"/>
            </w:tcBorders>
            <w:shd w:val="clear" w:color="auto" w:fill="auto"/>
            <w:tcMar>
              <w:top w:w="0" w:type="dxa"/>
              <w:bottom w:w="0" w:type="dxa"/>
            </w:tcMar>
            <w:vAlign w:val="center"/>
          </w:tcPr>
          <w:p w14:paraId="0DB910D1" w14:textId="77777777" w:rsidR="00FB5CC1" w:rsidRPr="007E5B70" w:rsidRDefault="00FB5CC1" w:rsidP="007E5B70">
            <w:pPr>
              <w:spacing w:after="120" w:line="360" w:lineRule="auto"/>
              <w:rPr>
                <w:rFonts w:ascii="Arial" w:eastAsia="Arial" w:hAnsi="Arial" w:cs="Arial"/>
                <w:color w:val="010000"/>
                <w:sz w:val="20"/>
                <w:szCs w:val="20"/>
              </w:rPr>
            </w:pPr>
          </w:p>
        </w:tc>
        <w:tc>
          <w:tcPr>
            <w:tcW w:w="16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C6CBF7"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Amount (unit: VND)</w:t>
            </w:r>
          </w:p>
        </w:tc>
      </w:tr>
      <w:tr w:rsidR="00FB5CC1" w:rsidRPr="007E5B70" w14:paraId="0DD9FAE5" w14:textId="77777777" w:rsidTr="007E5B70">
        <w:tc>
          <w:tcPr>
            <w:tcW w:w="396" w:type="pct"/>
            <w:tcBorders>
              <w:top w:val="single" w:sz="4" w:space="0" w:color="000000"/>
              <w:left w:val="single" w:sz="4" w:space="0" w:color="000000"/>
            </w:tcBorders>
            <w:shd w:val="clear" w:color="auto" w:fill="auto"/>
            <w:tcMar>
              <w:top w:w="0" w:type="dxa"/>
              <w:bottom w:w="0" w:type="dxa"/>
            </w:tcMar>
            <w:vAlign w:val="center"/>
          </w:tcPr>
          <w:p w14:paraId="78B00785"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1</w:t>
            </w:r>
          </w:p>
        </w:tc>
        <w:tc>
          <w:tcPr>
            <w:tcW w:w="2993" w:type="pct"/>
            <w:gridSpan w:val="2"/>
            <w:tcBorders>
              <w:top w:val="single" w:sz="4" w:space="0" w:color="000000"/>
              <w:left w:val="single" w:sz="4" w:space="0" w:color="000000"/>
            </w:tcBorders>
            <w:shd w:val="clear" w:color="auto" w:fill="auto"/>
            <w:tcMar>
              <w:top w:w="0" w:type="dxa"/>
              <w:bottom w:w="0" w:type="dxa"/>
            </w:tcMar>
            <w:vAlign w:val="center"/>
          </w:tcPr>
          <w:p w14:paraId="141D6511"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Total revenue</w:t>
            </w:r>
          </w:p>
        </w:tc>
        <w:tc>
          <w:tcPr>
            <w:tcW w:w="16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BAF872"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318,890,303,188</w:t>
            </w:r>
          </w:p>
        </w:tc>
      </w:tr>
      <w:tr w:rsidR="00FB5CC1" w:rsidRPr="007E5B70" w14:paraId="033491E2" w14:textId="77777777" w:rsidTr="007E5B70">
        <w:tc>
          <w:tcPr>
            <w:tcW w:w="396" w:type="pct"/>
            <w:tcBorders>
              <w:top w:val="single" w:sz="4" w:space="0" w:color="000000"/>
              <w:left w:val="single" w:sz="4" w:space="0" w:color="000000"/>
            </w:tcBorders>
            <w:shd w:val="clear" w:color="auto" w:fill="auto"/>
            <w:tcMar>
              <w:top w:w="0" w:type="dxa"/>
              <w:bottom w:w="0" w:type="dxa"/>
            </w:tcMar>
            <w:vAlign w:val="center"/>
          </w:tcPr>
          <w:p w14:paraId="7E7ACF9F"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2</w:t>
            </w:r>
          </w:p>
        </w:tc>
        <w:tc>
          <w:tcPr>
            <w:tcW w:w="2993" w:type="pct"/>
            <w:gridSpan w:val="2"/>
            <w:tcBorders>
              <w:top w:val="single" w:sz="4" w:space="0" w:color="000000"/>
              <w:left w:val="single" w:sz="4" w:space="0" w:color="000000"/>
            </w:tcBorders>
            <w:shd w:val="clear" w:color="auto" w:fill="auto"/>
            <w:tcMar>
              <w:top w:w="0" w:type="dxa"/>
              <w:bottom w:w="0" w:type="dxa"/>
            </w:tcMar>
            <w:vAlign w:val="center"/>
          </w:tcPr>
          <w:p w14:paraId="487BFBF3"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Total profit before tax</w:t>
            </w:r>
          </w:p>
        </w:tc>
        <w:tc>
          <w:tcPr>
            <w:tcW w:w="16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7D7669"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11,977,379,787</w:t>
            </w:r>
          </w:p>
        </w:tc>
      </w:tr>
      <w:tr w:rsidR="00FB5CC1" w:rsidRPr="007E5B70" w14:paraId="4E7387F5" w14:textId="77777777" w:rsidTr="007E5B70">
        <w:tc>
          <w:tcPr>
            <w:tcW w:w="396" w:type="pct"/>
            <w:tcBorders>
              <w:top w:val="single" w:sz="4" w:space="0" w:color="000000"/>
              <w:left w:val="single" w:sz="4" w:space="0" w:color="000000"/>
            </w:tcBorders>
            <w:shd w:val="clear" w:color="auto" w:fill="auto"/>
            <w:tcMar>
              <w:top w:w="0" w:type="dxa"/>
              <w:bottom w:w="0" w:type="dxa"/>
            </w:tcMar>
            <w:vAlign w:val="center"/>
          </w:tcPr>
          <w:p w14:paraId="12CD489F"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3</w:t>
            </w:r>
          </w:p>
        </w:tc>
        <w:tc>
          <w:tcPr>
            <w:tcW w:w="2993" w:type="pct"/>
            <w:gridSpan w:val="2"/>
            <w:tcBorders>
              <w:top w:val="single" w:sz="4" w:space="0" w:color="000000"/>
              <w:left w:val="single" w:sz="4" w:space="0" w:color="000000"/>
            </w:tcBorders>
            <w:shd w:val="clear" w:color="auto" w:fill="auto"/>
            <w:tcMar>
              <w:top w:w="0" w:type="dxa"/>
              <w:bottom w:w="0" w:type="dxa"/>
            </w:tcMar>
            <w:vAlign w:val="center"/>
          </w:tcPr>
          <w:p w14:paraId="6867B41C"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Profit after corporate income tax</w:t>
            </w:r>
          </w:p>
        </w:tc>
        <w:tc>
          <w:tcPr>
            <w:tcW w:w="16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75776D"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9,175,538,004</w:t>
            </w:r>
          </w:p>
        </w:tc>
      </w:tr>
      <w:tr w:rsidR="00FB5CC1" w:rsidRPr="007E5B70" w14:paraId="59390BCC" w14:textId="77777777" w:rsidTr="007E5B70">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33A97B"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4</w:t>
            </w:r>
          </w:p>
        </w:tc>
        <w:tc>
          <w:tcPr>
            <w:tcW w:w="299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9A79A"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Investment and development fund</w:t>
            </w:r>
          </w:p>
        </w:tc>
        <w:tc>
          <w:tcPr>
            <w:tcW w:w="16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FA992"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450,000,000</w:t>
            </w:r>
          </w:p>
        </w:tc>
      </w:tr>
      <w:tr w:rsidR="00FB5CC1" w:rsidRPr="007E5B70" w14:paraId="080C455F" w14:textId="77777777" w:rsidTr="007E5B70">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866F11"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5</w:t>
            </w:r>
          </w:p>
        </w:tc>
        <w:tc>
          <w:tcPr>
            <w:tcW w:w="299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5FD6D6"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Bonus fund</w:t>
            </w:r>
          </w:p>
        </w:tc>
        <w:tc>
          <w:tcPr>
            <w:tcW w:w="16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C1ACBB"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2,295,538,004</w:t>
            </w:r>
          </w:p>
        </w:tc>
      </w:tr>
      <w:tr w:rsidR="00FB5CC1" w:rsidRPr="007E5B70" w14:paraId="593C5A04" w14:textId="77777777" w:rsidTr="007E5B70">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CE1345"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6</w:t>
            </w:r>
          </w:p>
        </w:tc>
        <w:tc>
          <w:tcPr>
            <w:tcW w:w="299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C61C07"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Welfare fund:</w:t>
            </w:r>
          </w:p>
        </w:tc>
        <w:tc>
          <w:tcPr>
            <w:tcW w:w="16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2E09D7"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800,000,000</w:t>
            </w:r>
          </w:p>
        </w:tc>
      </w:tr>
      <w:tr w:rsidR="00FB5CC1" w:rsidRPr="007E5B70" w14:paraId="589AE623" w14:textId="77777777" w:rsidTr="007E5B70">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562E48"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7</w:t>
            </w:r>
          </w:p>
        </w:tc>
        <w:tc>
          <w:tcPr>
            <w:tcW w:w="299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3A7066"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Bonus fund for the Executive Management Board</w:t>
            </w:r>
          </w:p>
        </w:tc>
        <w:tc>
          <w:tcPr>
            <w:tcW w:w="16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F6D6CA"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380,000,000</w:t>
            </w:r>
          </w:p>
        </w:tc>
      </w:tr>
      <w:tr w:rsidR="00FB5CC1" w:rsidRPr="007E5B70" w14:paraId="7628F624" w14:textId="77777777" w:rsidTr="007E5B70">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BB5FD"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8</w:t>
            </w:r>
          </w:p>
        </w:tc>
        <w:tc>
          <w:tcPr>
            <w:tcW w:w="299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018C9E"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Dividend payment (10.5% of charter capital)</w:t>
            </w:r>
          </w:p>
        </w:tc>
        <w:tc>
          <w:tcPr>
            <w:tcW w:w="16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7C5DD8" w14:textId="77777777" w:rsidR="00FB5CC1" w:rsidRPr="007E5B70" w:rsidRDefault="007E5B70" w:rsidP="007E5B70">
            <w:pPr>
              <w:pBdr>
                <w:top w:val="nil"/>
                <w:left w:val="nil"/>
                <w:bottom w:val="nil"/>
                <w:right w:val="nil"/>
                <w:between w:val="nil"/>
              </w:pBdr>
              <w:spacing w:after="120" w:line="360" w:lineRule="auto"/>
              <w:rPr>
                <w:rFonts w:ascii="Arial" w:eastAsia="Arial" w:hAnsi="Arial" w:cs="Arial"/>
                <w:color w:val="010000"/>
                <w:sz w:val="20"/>
                <w:szCs w:val="20"/>
              </w:rPr>
            </w:pPr>
            <w:r w:rsidRPr="007E5B70">
              <w:rPr>
                <w:rFonts w:ascii="Arial" w:hAnsi="Arial" w:cs="Arial"/>
                <w:color w:val="010000"/>
                <w:sz w:val="20"/>
              </w:rPr>
              <w:t>5,250,000,000</w:t>
            </w:r>
          </w:p>
        </w:tc>
      </w:tr>
    </w:tbl>
    <w:p w14:paraId="1C77B8A5"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4.</w:t>
      </w:r>
      <w:proofErr w:type="gramEnd"/>
      <w:r w:rsidRPr="007E5B70">
        <w:rPr>
          <w:rFonts w:ascii="Arial" w:hAnsi="Arial" w:cs="Arial"/>
          <w:color w:val="010000"/>
          <w:sz w:val="20"/>
        </w:rPr>
        <w:t xml:space="preserve"> Agree on the Annual Report 2023 of the Executive Board. Assign the Manager of the Company to direct the information disclosure according to regulations.</w:t>
      </w:r>
    </w:p>
    <w:p w14:paraId="37F34545"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5.</w:t>
      </w:r>
      <w:proofErr w:type="gramEnd"/>
      <w:r w:rsidRPr="007E5B70">
        <w:rPr>
          <w:rFonts w:ascii="Arial" w:hAnsi="Arial" w:cs="Arial"/>
          <w:color w:val="010000"/>
          <w:sz w:val="20"/>
        </w:rPr>
        <w:t xml:space="preserve"> Agree on time, personnel assignment program at the General Meeting of Shareholders 2024, working and voting regulations at the Annual General Meeting of Shareholders 2024 as follows:</w:t>
      </w:r>
    </w:p>
    <w:p w14:paraId="0AB52BCE" w14:textId="77777777" w:rsidR="00FB5CC1" w:rsidRPr="007E5B70" w:rsidRDefault="007E5B70" w:rsidP="0096248E">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Time: April 23, 2024 (record list to attend the General Meeting 2024 is March 27, 2024)</w:t>
      </w:r>
    </w:p>
    <w:p w14:paraId="635E391A" w14:textId="77777777" w:rsidR="00FB5CC1" w:rsidRPr="007E5B70" w:rsidRDefault="007E5B70" w:rsidP="0096248E">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 xml:space="preserve">Venue: No. 5, 9 Street, Ward 9, Go </w:t>
      </w:r>
      <w:proofErr w:type="spellStart"/>
      <w:r w:rsidRPr="007E5B70">
        <w:rPr>
          <w:rFonts w:ascii="Arial" w:hAnsi="Arial" w:cs="Arial"/>
          <w:color w:val="010000"/>
          <w:sz w:val="20"/>
        </w:rPr>
        <w:t>Vap</w:t>
      </w:r>
      <w:proofErr w:type="spellEnd"/>
      <w:r w:rsidRPr="007E5B70">
        <w:rPr>
          <w:rFonts w:ascii="Arial" w:hAnsi="Arial" w:cs="Arial"/>
          <w:color w:val="010000"/>
          <w:sz w:val="20"/>
        </w:rPr>
        <w:t xml:space="preserve"> District, Ho Chi Minh City</w:t>
      </w:r>
      <w:bookmarkStart w:id="0" w:name="_GoBack"/>
      <w:bookmarkEnd w:id="0"/>
    </w:p>
    <w:p w14:paraId="30C18E49" w14:textId="77777777" w:rsidR="00FB5CC1" w:rsidRPr="007E5B70" w:rsidRDefault="007E5B70" w:rsidP="0096248E">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The Company's General Meeting program will specifically announce documents in the General Meeting Invitation to each shareholder with the following content:</w:t>
      </w:r>
    </w:p>
    <w:p w14:paraId="0C7C5952"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Report summarizing production and business activities in 2023 and directions for 2024 of the Executive Board, Board of Directors and Supervisory Board.</w:t>
      </w:r>
    </w:p>
    <w:p w14:paraId="197B4741"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Audited financial statements in 2023.</w:t>
      </w:r>
    </w:p>
    <w:p w14:paraId="29693F63"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Proposal on profit distribution and dividends distribution in 2023, expected financial plan for 2024.</w:t>
      </w:r>
    </w:p>
    <w:p w14:paraId="45B18A56"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lastRenderedPageBreak/>
        <w:t xml:space="preserve"> </w:t>
      </w:r>
    </w:p>
    <w:p w14:paraId="4714E91F"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Proposal on selecting an auditing unit for financial statements 2024- Supervisory Board.</w:t>
      </w:r>
    </w:p>
    <w:p w14:paraId="084028FA"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Proposal on remuneration of the Non-executive Board of Directors, Non-executive Supervisory Board, Person in charge of administration/Company Secretary in 2024.</w:t>
      </w:r>
    </w:p>
    <w:p w14:paraId="2070A2B7"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Proposal on assigning the Board of Directors to decide on service contracts in 2024 signed with Saigon Water Corporation.</w:t>
      </w:r>
    </w:p>
    <w:p w14:paraId="1C1EFA2F" w14:textId="77777777" w:rsidR="00FB5CC1" w:rsidRPr="007E5B70" w:rsidRDefault="007E5B70" w:rsidP="0096248E">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Proposal on the dismissal and election of additional members of the Board of Directors.</w:t>
      </w:r>
    </w:p>
    <w:p w14:paraId="6B709D49" w14:textId="31F9BEFD"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r w:rsidRPr="007E5B70">
        <w:rPr>
          <w:rFonts w:ascii="Arial" w:hAnsi="Arial" w:cs="Arial"/>
          <w:color w:val="010000"/>
          <w:sz w:val="20"/>
        </w:rPr>
        <w:t xml:space="preserve">Assign the Executive Board to organize and </w:t>
      </w:r>
      <w:r>
        <w:rPr>
          <w:rFonts w:ascii="Arial" w:hAnsi="Arial" w:cs="Arial"/>
          <w:color w:val="010000"/>
          <w:sz w:val="20"/>
        </w:rPr>
        <w:t>disclose</w:t>
      </w:r>
      <w:r w:rsidRPr="007E5B70">
        <w:rPr>
          <w:rFonts w:ascii="Arial" w:hAnsi="Arial" w:cs="Arial"/>
          <w:color w:val="010000"/>
          <w:sz w:val="20"/>
        </w:rPr>
        <w:t xml:space="preserve"> information about the Annual General Meeting of Shareholders 2024 in accordance with regulations.</w:t>
      </w:r>
    </w:p>
    <w:p w14:paraId="5A4EECE8" w14:textId="77777777" w:rsidR="00FB5CC1" w:rsidRPr="007E5B70" w:rsidRDefault="007E5B70" w:rsidP="0096248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E5B70">
        <w:rPr>
          <w:rFonts w:ascii="Arial" w:hAnsi="Arial" w:cs="Arial"/>
          <w:color w:val="010000"/>
          <w:sz w:val="20"/>
        </w:rPr>
        <w:t>‎‎Article 6.</w:t>
      </w:r>
      <w:proofErr w:type="gramEnd"/>
      <w:r w:rsidRPr="007E5B70">
        <w:rPr>
          <w:rFonts w:ascii="Arial" w:hAnsi="Arial" w:cs="Arial"/>
          <w:color w:val="010000"/>
          <w:sz w:val="20"/>
        </w:rPr>
        <w:t xml:space="preserve"> This Resolution takes effect from the date of its signing. Members of the Board of Directors, Supervisory Board and Executive Board of the Company implement this Resolution in accordance with regulations.</w:t>
      </w:r>
    </w:p>
    <w:sectPr w:rsidR="00FB5CC1" w:rsidRPr="007E5B70" w:rsidSect="007E5B7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D1F"/>
    <w:multiLevelType w:val="multilevel"/>
    <w:tmpl w:val="CE0C2B26"/>
    <w:lvl w:ilvl="0">
      <w:start w:val="1"/>
      <w:numFmt w:val="bullet"/>
      <w:lvlText w:val="-"/>
      <w:lvlJc w:val="left"/>
      <w:pPr>
        <w:ind w:left="0" w:firstLine="0"/>
      </w:pPr>
      <w:rPr>
        <w:rFonts w:ascii="Arial" w:eastAsia="Arial" w:hAnsi="Arial" w:cs="Arial"/>
        <w:b w:val="0"/>
        <w:i w:val="0"/>
        <w:smallCaps w:val="0"/>
        <w:strike w:val="0"/>
        <w:color w:val="99999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221F4B"/>
    <w:multiLevelType w:val="multilevel"/>
    <w:tmpl w:val="631A39F6"/>
    <w:lvl w:ilvl="0">
      <w:start w:val="1"/>
      <w:numFmt w:val="lowerRoman"/>
      <w:lvlText w:val="%1."/>
      <w:lvlJc w:val="left"/>
      <w:pPr>
        <w:ind w:left="0" w:firstLine="0"/>
      </w:pPr>
      <w:rPr>
        <w:rFonts w:ascii="Arial" w:eastAsia="Arial" w:hAnsi="Arial" w:cs="Arial"/>
        <w:b w:val="0"/>
        <w:i w:val="0"/>
        <w:smallCaps w:val="0"/>
        <w:strike w:val="0"/>
        <w:color w:val="4140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C1"/>
    <w:rsid w:val="007E5B70"/>
    <w:rsid w:val="0096248E"/>
    <w:rsid w:val="00FB5CC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14043"/>
      <w:sz w:val="22"/>
      <w:szCs w:val="22"/>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color w:val="414043"/>
      <w:sz w:val="26"/>
      <w:szCs w:val="26"/>
    </w:rPr>
  </w:style>
  <w:style w:type="paragraph" w:customStyle="1" w:styleId="Chthchbng0">
    <w:name w:val="Chú thích bảng"/>
    <w:basedOn w:val="Normal"/>
    <w:link w:val="Chthchbng"/>
    <w:pPr>
      <w:spacing w:line="247" w:lineRule="auto"/>
      <w:ind w:left="490" w:hanging="490"/>
    </w:pPr>
    <w:rPr>
      <w:rFonts w:ascii="Times New Roman" w:eastAsia="Times New Roman" w:hAnsi="Times New Roman" w:cs="Times New Roman"/>
      <w:color w:val="414043"/>
      <w:sz w:val="26"/>
      <w:szCs w:val="26"/>
    </w:rPr>
  </w:style>
  <w:style w:type="paragraph" w:customStyle="1" w:styleId="Khc0">
    <w:name w:val="Khác"/>
    <w:basedOn w:val="Normal"/>
    <w:link w:val="Khc"/>
    <w:pPr>
      <w:ind w:firstLine="20"/>
    </w:pPr>
    <w:rPr>
      <w:rFonts w:ascii="Times New Roman" w:eastAsia="Times New Roman" w:hAnsi="Times New Roman" w:cs="Times New Roman"/>
      <w:color w:val="414043"/>
      <w:sz w:val="26"/>
      <w:szCs w:val="26"/>
    </w:rPr>
  </w:style>
  <w:style w:type="paragraph" w:customStyle="1" w:styleId="Vnbnnidung20">
    <w:name w:val="Văn bản nội dung (2)"/>
    <w:basedOn w:val="Normal"/>
    <w:link w:val="Vnbnnidung2"/>
    <w:pPr>
      <w:ind w:firstLine="1000"/>
    </w:pPr>
    <w:rPr>
      <w:rFonts w:ascii="Times New Roman" w:eastAsia="Times New Roman" w:hAnsi="Times New Roman" w:cs="Times New Roman"/>
      <w:color w:val="414043"/>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14043"/>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14043"/>
      <w:sz w:val="22"/>
      <w:szCs w:val="22"/>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color w:val="414043"/>
      <w:sz w:val="26"/>
      <w:szCs w:val="26"/>
    </w:rPr>
  </w:style>
  <w:style w:type="paragraph" w:customStyle="1" w:styleId="Chthchbng0">
    <w:name w:val="Chú thích bảng"/>
    <w:basedOn w:val="Normal"/>
    <w:link w:val="Chthchbng"/>
    <w:pPr>
      <w:spacing w:line="247" w:lineRule="auto"/>
      <w:ind w:left="490" w:hanging="490"/>
    </w:pPr>
    <w:rPr>
      <w:rFonts w:ascii="Times New Roman" w:eastAsia="Times New Roman" w:hAnsi="Times New Roman" w:cs="Times New Roman"/>
      <w:color w:val="414043"/>
      <w:sz w:val="26"/>
      <w:szCs w:val="26"/>
    </w:rPr>
  </w:style>
  <w:style w:type="paragraph" w:customStyle="1" w:styleId="Khc0">
    <w:name w:val="Khác"/>
    <w:basedOn w:val="Normal"/>
    <w:link w:val="Khc"/>
    <w:pPr>
      <w:ind w:firstLine="20"/>
    </w:pPr>
    <w:rPr>
      <w:rFonts w:ascii="Times New Roman" w:eastAsia="Times New Roman" w:hAnsi="Times New Roman" w:cs="Times New Roman"/>
      <w:color w:val="414043"/>
      <w:sz w:val="26"/>
      <w:szCs w:val="26"/>
    </w:rPr>
  </w:style>
  <w:style w:type="paragraph" w:customStyle="1" w:styleId="Vnbnnidung20">
    <w:name w:val="Văn bản nội dung (2)"/>
    <w:basedOn w:val="Normal"/>
    <w:link w:val="Vnbnnidung2"/>
    <w:pPr>
      <w:ind w:firstLine="1000"/>
    </w:pPr>
    <w:rPr>
      <w:rFonts w:ascii="Times New Roman" w:eastAsia="Times New Roman" w:hAnsi="Times New Roman" w:cs="Times New Roman"/>
      <w:color w:val="414043"/>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m2ZCNdEiyRTZsiZP854sR3QJg==">CgMxLjA4AHIhMXBqN2JPMER2Y2YtZDlsUllOcElaX0xpWDU2ZlJDUmNz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2473</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2024-04-02T04:52:00Z</dcterms:created>
  <dcterms:modified xsi:type="dcterms:W3CDTF">2024-04-03T08:13:00Z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0fcf1ae635c8fb3896badfadc3cd6b9fd0e6b6a1cdceeb182cb3dd22edb725fa</vt:lpwstr>
  </property>
</Properties>
</file>