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F2499" w:rsidRDefault="00453744" w:rsidP="007328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color w:val="010000"/>
          <w:sz w:val="20"/>
        </w:rPr>
        <w:t>VCM: Board Resolution</w:t>
      </w:r>
    </w:p>
    <w:p w14:paraId="00000002" w14:textId="64793B12" w:rsidR="00BF2499" w:rsidRDefault="00453744" w:rsidP="007328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29, 2024, </w:t>
      </w:r>
      <w:proofErr w:type="spellStart"/>
      <w:r>
        <w:rPr>
          <w:rFonts w:ascii="Arial" w:hAnsi="Arial"/>
          <w:color w:val="010000"/>
          <w:sz w:val="20"/>
        </w:rPr>
        <w:t>Vinaconex</w:t>
      </w:r>
      <w:proofErr w:type="spellEnd"/>
      <w:r>
        <w:rPr>
          <w:rFonts w:ascii="Arial" w:hAnsi="Arial"/>
          <w:color w:val="010000"/>
          <w:sz w:val="20"/>
        </w:rPr>
        <w:t xml:space="preserve"> Trading and Manpower JSC announced Resolution No. 07/2024/NQ/HDQT-BVLIFE on approving the content of the Annual </w:t>
      </w:r>
      <w:r w:rsidR="0073285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2024 of </w:t>
      </w:r>
      <w:proofErr w:type="spellStart"/>
      <w:r>
        <w:rPr>
          <w:rFonts w:ascii="Arial" w:hAnsi="Arial"/>
          <w:color w:val="010000"/>
          <w:sz w:val="20"/>
        </w:rPr>
        <w:t>Vinaconex</w:t>
      </w:r>
      <w:proofErr w:type="spellEnd"/>
      <w:r>
        <w:rPr>
          <w:rFonts w:ascii="Arial" w:hAnsi="Arial"/>
          <w:color w:val="010000"/>
          <w:sz w:val="20"/>
        </w:rPr>
        <w:t xml:space="preserve"> Trading and Manpower JSC as follows: </w:t>
      </w:r>
    </w:p>
    <w:p w14:paraId="00000004" w14:textId="38184357" w:rsidR="00BF2499" w:rsidRDefault="00453744" w:rsidP="007328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 Approve Proposal No. 06/2024/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 xml:space="preserve">/HDQT-BVLIFE dated March 28, 2024 on the content of the Annual </w:t>
      </w:r>
      <w:r w:rsidR="0073285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2024 as follows:</w:t>
      </w:r>
    </w:p>
    <w:p w14:paraId="00000005" w14:textId="3CAF799B" w:rsidR="00BF2499" w:rsidRDefault="00453744" w:rsidP="007328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the Draft Report and Proposal submitted to the Annual </w:t>
      </w:r>
      <w:r w:rsidR="0073285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for approval corresponding to the agenda content.</w:t>
      </w:r>
    </w:p>
    <w:p w14:paraId="00000006" w14:textId="77777777" w:rsidR="00BF2499" w:rsidRDefault="00453744" w:rsidP="007328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Details in the attached document include:</w:t>
      </w:r>
    </w:p>
    <w:p w14:paraId="00000007" w14:textId="77777777" w:rsidR="00BF2499" w:rsidRDefault="00453744" w:rsidP="00732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operating results in 2023 and operating plan in 2024 of the Board of Directors;</w:t>
      </w:r>
    </w:p>
    <w:p w14:paraId="00000008" w14:textId="77777777" w:rsidR="00BF2499" w:rsidRDefault="00453744" w:rsidP="00732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production and business results in 2023 and production and business plan for 2024 of the Company.</w:t>
      </w:r>
    </w:p>
    <w:p w14:paraId="0000000A" w14:textId="0EAD5C38" w:rsidR="00BF2499" w:rsidRPr="00453744" w:rsidRDefault="00453744" w:rsidP="00732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operating results in 2023 and operating plan for 2024 of the Supervisory Board.</w:t>
      </w:r>
    </w:p>
    <w:p w14:paraId="0000000B" w14:textId="47E82F04" w:rsidR="00BF2499" w:rsidRDefault="00453744" w:rsidP="00732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Proposal on approving the Audited Financial Statements 2023 of the </w:t>
      </w:r>
      <w:r w:rsidR="0073285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.</w:t>
      </w:r>
    </w:p>
    <w:p w14:paraId="0000000C" w14:textId="5F0CBCEB" w:rsidR="00BF2499" w:rsidRDefault="00453744" w:rsidP="00732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Proposal on approving remuneration plan for the Board of Directors and the Supervisory Board and plan for 2024 of the </w:t>
      </w:r>
      <w:r w:rsidR="0073285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.</w:t>
      </w:r>
    </w:p>
    <w:p w14:paraId="0000000D" w14:textId="69CB7310" w:rsidR="00BF2499" w:rsidRDefault="00453744" w:rsidP="00732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Proposal on appropriating for funds and profit distribution plan in 2023, and plan for 2024 of the </w:t>
      </w:r>
      <w:r w:rsidR="0073285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.</w:t>
      </w:r>
    </w:p>
    <w:p w14:paraId="0000000F" w14:textId="48515C70" w:rsidR="00BF2499" w:rsidRPr="00453744" w:rsidRDefault="00453744" w:rsidP="00732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Proposal on approving the selection of an independent audit company to audit and review the Financial Statements 2024 of the </w:t>
      </w:r>
      <w:r w:rsidR="0073285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.</w:t>
      </w:r>
    </w:p>
    <w:p w14:paraId="00000010" w14:textId="58CC568F" w:rsidR="00BF2499" w:rsidRDefault="00453744" w:rsidP="00732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Proposal on approving the additional election of members of the Company’s Supervisory Board of the </w:t>
      </w:r>
      <w:r w:rsidR="0073285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.</w:t>
      </w:r>
    </w:p>
    <w:p w14:paraId="00000011" w14:textId="4A756F4C" w:rsidR="00BF2499" w:rsidRDefault="00453744" w:rsidP="00732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Proposal on approving the amendments to the Company’s Charter of the </w:t>
      </w:r>
      <w:r w:rsidR="0073285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.</w:t>
      </w:r>
    </w:p>
    <w:p w14:paraId="00000012" w14:textId="77777777" w:rsidR="00BF2499" w:rsidRDefault="00453744" w:rsidP="007328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Implementation and organization:</w:t>
      </w:r>
    </w:p>
    <w:p w14:paraId="00000013" w14:textId="7AB4DD1A" w:rsidR="00BF2499" w:rsidRDefault="00453744" w:rsidP="007328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Chair of the Board of Directors will </w:t>
      </w:r>
      <w:r w:rsidR="00732852">
        <w:rPr>
          <w:rFonts w:ascii="Arial" w:hAnsi="Arial"/>
          <w:color w:val="010000"/>
          <w:sz w:val="20"/>
        </w:rPr>
        <w:t>convene</w:t>
      </w:r>
      <w:r>
        <w:rPr>
          <w:rFonts w:ascii="Arial" w:hAnsi="Arial"/>
          <w:color w:val="010000"/>
          <w:sz w:val="20"/>
        </w:rPr>
        <w:t xml:space="preserve"> the Annual </w:t>
      </w:r>
      <w:r w:rsidR="0073285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2024, ensuring that the Meeting is held successfully, fully complying with the provisions of law and the Company's Charter. Authorization contents include but are not limited to:</w:t>
      </w:r>
    </w:p>
    <w:p w14:paraId="00000014" w14:textId="47928640" w:rsidR="00BF2499" w:rsidRDefault="00453744" w:rsidP="00732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Adjust and decide on the time of the Annual </w:t>
      </w:r>
      <w:r w:rsidR="0073285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2024;</w:t>
      </w:r>
    </w:p>
    <w:p w14:paraId="00000015" w14:textId="4AAED7C4" w:rsidR="00BF2499" w:rsidRDefault="00453744" w:rsidP="00732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Decid</w:t>
      </w:r>
      <w:r w:rsidR="00732852">
        <w:rPr>
          <w:rFonts w:ascii="Arial" w:hAnsi="Arial"/>
          <w:color w:val="010000"/>
          <w:sz w:val="20"/>
        </w:rPr>
        <w:t>e on establishing the Organizer Committee,</w:t>
      </w:r>
      <w:r>
        <w:rPr>
          <w:rFonts w:ascii="Arial" w:hAnsi="Arial"/>
          <w:color w:val="010000"/>
          <w:sz w:val="20"/>
        </w:rPr>
        <w:t xml:space="preserve"> Shareholder's Eligibility Verification Committee, introduce personnel t</w:t>
      </w:r>
      <w:r w:rsidR="00732852">
        <w:rPr>
          <w:rFonts w:ascii="Arial" w:hAnsi="Arial"/>
          <w:color w:val="010000"/>
          <w:sz w:val="20"/>
        </w:rPr>
        <w:t xml:space="preserve">o join the Secretariat and </w:t>
      </w:r>
      <w:r>
        <w:rPr>
          <w:rFonts w:ascii="Arial" w:hAnsi="Arial"/>
          <w:color w:val="010000"/>
          <w:sz w:val="20"/>
        </w:rPr>
        <w:t xml:space="preserve">Vote Counting Committee of the Annual </w:t>
      </w:r>
      <w:r w:rsidR="0073285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2024;</w:t>
      </w:r>
    </w:p>
    <w:p w14:paraId="00000016" w14:textId="4905DDAF" w:rsidR="00BF2499" w:rsidRDefault="00453744" w:rsidP="00732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Prepare meeting content and agenda, review and add shareholder recommendations to the content and agenda of the Annual </w:t>
      </w:r>
      <w:r w:rsidR="0073285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2024;</w:t>
      </w:r>
    </w:p>
    <w:p w14:paraId="00000017" w14:textId="54E0BDC7" w:rsidR="00BF2499" w:rsidRDefault="00453744" w:rsidP="00732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Draft the Regulations on organizing the Meeting, approve and sign documents related to the </w:t>
      </w:r>
      <w:r>
        <w:rPr>
          <w:rFonts w:ascii="Arial" w:hAnsi="Arial"/>
          <w:color w:val="010000"/>
          <w:sz w:val="20"/>
        </w:rPr>
        <w:lastRenderedPageBreak/>
        <w:t xml:space="preserve">organization of the Annual </w:t>
      </w:r>
      <w:r w:rsidR="0073285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2024;</w:t>
      </w:r>
    </w:p>
    <w:p w14:paraId="00000018" w14:textId="597BF605" w:rsidR="00BF2499" w:rsidRDefault="00453744" w:rsidP="00732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Other tasks fall under the authority of the Board of Directors </w:t>
      </w:r>
      <w:r w:rsidR="00732852">
        <w:rPr>
          <w:rFonts w:ascii="Arial" w:hAnsi="Arial"/>
          <w:color w:val="010000"/>
          <w:sz w:val="20"/>
        </w:rPr>
        <w:t xml:space="preserve">under the Charter </w:t>
      </w:r>
      <w:proofErr w:type="gramStart"/>
      <w:r w:rsidR="00732852">
        <w:rPr>
          <w:rFonts w:ascii="Arial" w:hAnsi="Arial"/>
          <w:color w:val="010000"/>
          <w:sz w:val="20"/>
        </w:rPr>
        <w:t xml:space="preserve">and </w:t>
      </w:r>
      <w:r>
        <w:rPr>
          <w:rFonts w:ascii="Arial" w:hAnsi="Arial"/>
          <w:color w:val="010000"/>
          <w:sz w:val="20"/>
        </w:rPr>
        <w:t xml:space="preserve"> current</w:t>
      </w:r>
      <w:proofErr w:type="gramEnd"/>
      <w:r>
        <w:rPr>
          <w:rFonts w:ascii="Arial" w:hAnsi="Arial"/>
          <w:color w:val="010000"/>
          <w:sz w:val="20"/>
        </w:rPr>
        <w:t xml:space="preserve"> Law on Enterprises.</w:t>
      </w:r>
    </w:p>
    <w:p w14:paraId="00000019" w14:textId="58E23283" w:rsidR="00BF2499" w:rsidRDefault="00453744" w:rsidP="007328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This </w:t>
      </w:r>
      <w:r w:rsidR="00732852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Resolution takes effect from the date of its signing.</w:t>
      </w:r>
    </w:p>
    <w:p w14:paraId="0000001A" w14:textId="2DAABA13" w:rsidR="00BF2499" w:rsidRDefault="00453744" w:rsidP="007328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 Mem</w:t>
      </w:r>
      <w:r w:rsidR="00732852">
        <w:rPr>
          <w:rFonts w:ascii="Arial" w:hAnsi="Arial"/>
          <w:color w:val="010000"/>
          <w:sz w:val="20"/>
        </w:rPr>
        <w:t xml:space="preserve">bers of the Board of Directors and Executive Board </w:t>
      </w:r>
      <w:bookmarkStart w:id="1" w:name="_GoBack"/>
      <w:bookmarkEnd w:id="1"/>
      <w:r>
        <w:rPr>
          <w:rFonts w:ascii="Arial" w:hAnsi="Arial"/>
          <w:color w:val="010000"/>
          <w:sz w:val="20"/>
        </w:rPr>
        <w:t>of the Company are responsible for implementing this Resolution.</w:t>
      </w:r>
    </w:p>
    <w:p w14:paraId="0000001B" w14:textId="77777777" w:rsidR="00BF2499" w:rsidRDefault="00BF2499" w:rsidP="00732852">
      <w:pPr>
        <w:pBdr>
          <w:top w:val="nil"/>
          <w:left w:val="nil"/>
          <w:bottom w:val="nil"/>
          <w:right w:val="nil"/>
          <w:between w:val="nil"/>
        </w:pBdr>
        <w:tabs>
          <w:tab w:val="left" w:pos="7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BF2499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8DF"/>
    <w:multiLevelType w:val="multilevel"/>
    <w:tmpl w:val="4B985DD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0DA1EAF"/>
    <w:multiLevelType w:val="multilevel"/>
    <w:tmpl w:val="BCCEE18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99"/>
    <w:rsid w:val="00010E12"/>
    <w:rsid w:val="00453744"/>
    <w:rsid w:val="00732852"/>
    <w:rsid w:val="00B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1E52"/>
  <w15:docId w15:val="{D251A69E-3F71-447C-8A4B-154E7A9E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345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345"/>
      <w:sz w:val="22"/>
      <w:szCs w:val="22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300" w:lineRule="auto"/>
    </w:pPr>
    <w:rPr>
      <w:rFonts w:ascii="Times New Roman" w:eastAsia="Times New Roman" w:hAnsi="Times New Roman" w:cs="Times New Roman"/>
      <w:color w:val="424345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300" w:lineRule="auto"/>
    </w:pPr>
    <w:rPr>
      <w:rFonts w:ascii="Times New Roman" w:eastAsia="Times New Roman" w:hAnsi="Times New Roman" w:cs="Times New Roman"/>
      <w:color w:val="424345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jveq8AEqNsSplUu9nzxPBZdq0A==">CgMxLjAyCGguZ2pkZ3hzOAByITFQM24wR2J4OFRhQWxlX3M2M2RsVkdiRVlWVWN2WWhqOQ==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2024-04-03T10:21:00Z</dcterms:created>
  <dcterms:modified xsi:type="dcterms:W3CDTF">2024-04-03T10:21:00Z</dcterms:modified>
</cp:coreProperties>
</file>