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36B9"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24914">
        <w:rPr>
          <w:rFonts w:ascii="Arial" w:hAnsi="Arial" w:cs="Arial"/>
          <w:b/>
          <w:color w:val="010000"/>
          <w:sz w:val="20"/>
        </w:rPr>
        <w:t>VEA</w:t>
      </w:r>
      <w:r w:rsidRPr="00024914">
        <w:rPr>
          <w:rFonts w:ascii="Arial" w:hAnsi="Arial" w:cs="Arial"/>
          <w:b/>
          <w:color w:val="010000"/>
          <w:sz w:val="20"/>
        </w:rPr>
        <w:t>:</w:t>
      </w:r>
      <w:r w:rsidRPr="00024914">
        <w:rPr>
          <w:rFonts w:ascii="Arial" w:hAnsi="Arial" w:cs="Arial"/>
          <w:b/>
          <w:color w:val="010000"/>
          <w:sz w:val="20"/>
        </w:rPr>
        <w:t xml:space="preserve"> Explanation on the Audited Financial Statements </w:t>
      </w:r>
      <w:r w:rsidRPr="00024914">
        <w:rPr>
          <w:rFonts w:ascii="Arial" w:hAnsi="Arial" w:cs="Arial"/>
          <w:b/>
          <w:color w:val="010000"/>
          <w:sz w:val="20"/>
        </w:rPr>
        <w:t>2023</w:t>
      </w:r>
    </w:p>
    <w:p w14:paraId="09DAF94E"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On </w:t>
      </w:r>
      <w:r w:rsidRPr="00024914">
        <w:rPr>
          <w:rFonts w:ascii="Arial" w:hAnsi="Arial" w:cs="Arial"/>
          <w:color w:val="010000"/>
          <w:sz w:val="20"/>
        </w:rPr>
        <w:t>March</w:t>
      </w:r>
      <w:r w:rsidRPr="00024914">
        <w:rPr>
          <w:rFonts w:ascii="Arial" w:hAnsi="Arial" w:cs="Arial"/>
          <w:color w:val="010000"/>
          <w:sz w:val="20"/>
        </w:rPr>
        <w:t xml:space="preserve"> </w:t>
      </w:r>
      <w:r w:rsidRPr="00024914">
        <w:rPr>
          <w:rFonts w:ascii="Arial" w:hAnsi="Arial" w:cs="Arial"/>
          <w:color w:val="010000"/>
          <w:sz w:val="20"/>
        </w:rPr>
        <w:t>29</w:t>
      </w:r>
      <w:r w:rsidRPr="00024914">
        <w:rPr>
          <w:rFonts w:ascii="Arial" w:hAnsi="Arial" w:cs="Arial"/>
          <w:color w:val="010000"/>
          <w:sz w:val="20"/>
        </w:rPr>
        <w:t xml:space="preserve">, </w:t>
      </w:r>
      <w:r w:rsidRPr="00024914">
        <w:rPr>
          <w:rFonts w:ascii="Arial" w:hAnsi="Arial" w:cs="Arial"/>
          <w:color w:val="010000"/>
          <w:sz w:val="20"/>
        </w:rPr>
        <w:t>2024</w:t>
      </w:r>
      <w:r w:rsidRPr="00024914">
        <w:rPr>
          <w:rFonts w:ascii="Arial" w:hAnsi="Arial" w:cs="Arial"/>
          <w:color w:val="010000"/>
          <w:sz w:val="20"/>
        </w:rPr>
        <w:t xml:space="preserve">, Vietnam Engine and Agricultural Machinery Corporation announced Official Dispatch No. </w:t>
      </w:r>
      <w:r w:rsidRPr="00024914">
        <w:rPr>
          <w:rFonts w:ascii="Arial" w:hAnsi="Arial" w:cs="Arial"/>
          <w:color w:val="010000"/>
          <w:sz w:val="20"/>
        </w:rPr>
        <w:t>181</w:t>
      </w:r>
      <w:r w:rsidRPr="00024914">
        <w:rPr>
          <w:rFonts w:ascii="Arial" w:hAnsi="Arial" w:cs="Arial"/>
          <w:color w:val="010000"/>
          <w:sz w:val="20"/>
        </w:rPr>
        <w:t xml:space="preserve">/VEAM-TCKT on the explanation of audit opinions and profit after tax fluctuations on the Audited Financial Statements </w:t>
      </w:r>
      <w:r w:rsidRPr="00024914">
        <w:rPr>
          <w:rFonts w:ascii="Arial" w:hAnsi="Arial" w:cs="Arial"/>
          <w:color w:val="010000"/>
          <w:sz w:val="20"/>
        </w:rPr>
        <w:t>2023</w:t>
      </w:r>
      <w:r w:rsidRPr="00024914">
        <w:rPr>
          <w:rFonts w:ascii="Arial" w:hAnsi="Arial" w:cs="Arial"/>
          <w:color w:val="010000"/>
          <w:sz w:val="20"/>
        </w:rPr>
        <w:t xml:space="preserve"> as follows</w:t>
      </w:r>
      <w:r w:rsidRPr="00024914">
        <w:rPr>
          <w:rFonts w:ascii="Arial" w:hAnsi="Arial" w:cs="Arial"/>
          <w:color w:val="010000"/>
          <w:sz w:val="20"/>
        </w:rPr>
        <w:t>:</w:t>
      </w:r>
    </w:p>
    <w:p w14:paraId="309ACB41" w14:textId="77777777" w:rsidR="005C5694" w:rsidRPr="00024914" w:rsidRDefault="00024914" w:rsidP="00024914">
      <w:pPr>
        <w:numPr>
          <w:ilvl w:val="0"/>
          <w:numId w:val="4"/>
        </w:numPr>
        <w:pBdr>
          <w:top w:val="nil"/>
          <w:left w:val="nil"/>
          <w:bottom w:val="nil"/>
          <w:right w:val="nil"/>
          <w:between w:val="nil"/>
        </w:pBdr>
        <w:tabs>
          <w:tab w:val="left" w:pos="432"/>
          <w:tab w:val="left" w:pos="2438"/>
          <w:tab w:val="left" w:pos="10436"/>
        </w:tabs>
        <w:spacing w:after="120" w:line="360" w:lineRule="auto"/>
        <w:rPr>
          <w:rFonts w:ascii="Arial" w:eastAsia="Arial" w:hAnsi="Arial" w:cs="Arial"/>
          <w:color w:val="010000"/>
          <w:sz w:val="20"/>
          <w:szCs w:val="20"/>
        </w:rPr>
      </w:pPr>
      <w:r w:rsidRPr="00024914">
        <w:rPr>
          <w:rFonts w:ascii="Arial" w:hAnsi="Arial" w:cs="Arial"/>
          <w:color w:val="010000"/>
          <w:sz w:val="20"/>
        </w:rPr>
        <w:t>Explanation o</w:t>
      </w:r>
      <w:r w:rsidRPr="00024914">
        <w:rPr>
          <w:rFonts w:ascii="Arial" w:hAnsi="Arial" w:cs="Arial"/>
          <w:color w:val="010000"/>
          <w:sz w:val="20"/>
        </w:rPr>
        <w:t>n the auditor's opinions</w:t>
      </w:r>
    </w:p>
    <w:p w14:paraId="3D743825" w14:textId="77777777" w:rsidR="005C5694" w:rsidRPr="00024914" w:rsidRDefault="00024914" w:rsidP="00024914">
      <w:pPr>
        <w:keepNext/>
        <w:numPr>
          <w:ilvl w:val="0"/>
          <w:numId w:val="5"/>
        </w:numPr>
        <w:pBdr>
          <w:top w:val="nil"/>
          <w:left w:val="nil"/>
          <w:bottom w:val="nil"/>
          <w:right w:val="nil"/>
          <w:between w:val="nil"/>
        </w:pBdr>
        <w:tabs>
          <w:tab w:val="left" w:pos="432"/>
          <w:tab w:val="left" w:pos="2448"/>
          <w:tab w:val="left" w:pos="10436"/>
        </w:tabs>
        <w:spacing w:after="120" w:line="360" w:lineRule="auto"/>
        <w:rPr>
          <w:rFonts w:ascii="Arial" w:eastAsia="Arial" w:hAnsi="Arial" w:cs="Arial"/>
          <w:color w:val="010000"/>
          <w:sz w:val="20"/>
          <w:szCs w:val="20"/>
        </w:rPr>
      </w:pPr>
      <w:r w:rsidRPr="00024914">
        <w:rPr>
          <w:rFonts w:ascii="Arial" w:hAnsi="Arial" w:cs="Arial"/>
          <w:color w:val="010000"/>
          <w:sz w:val="20"/>
        </w:rPr>
        <w:t>Separate Financial Statements</w:t>
      </w:r>
    </w:p>
    <w:p w14:paraId="2E9AB62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“As of </w:t>
      </w:r>
      <w:r w:rsidRPr="00024914">
        <w:rPr>
          <w:rFonts w:ascii="Arial" w:hAnsi="Arial" w:cs="Arial"/>
          <w:color w:val="010000"/>
          <w:sz w:val="20"/>
        </w:rPr>
        <w:t>December</w:t>
      </w:r>
      <w:r w:rsidRPr="00024914">
        <w:rPr>
          <w:rFonts w:ascii="Arial" w:hAnsi="Arial" w:cs="Arial"/>
          <w:color w:val="010000"/>
          <w:sz w:val="20"/>
        </w:rPr>
        <w:t xml:space="preserve"> </w:t>
      </w:r>
      <w:r w:rsidRPr="00024914">
        <w:rPr>
          <w:rFonts w:ascii="Arial" w:hAnsi="Arial" w:cs="Arial"/>
          <w:color w:val="010000"/>
          <w:sz w:val="20"/>
        </w:rPr>
        <w:t>31</w:t>
      </w:r>
      <w:r w:rsidRPr="00024914">
        <w:rPr>
          <w:rFonts w:ascii="Arial" w:hAnsi="Arial" w:cs="Arial"/>
          <w:color w:val="010000"/>
          <w:sz w:val="20"/>
        </w:rPr>
        <w:t xml:space="preserve">, </w:t>
      </w:r>
      <w:r w:rsidRPr="00024914">
        <w:rPr>
          <w:rFonts w:ascii="Arial" w:hAnsi="Arial" w:cs="Arial"/>
          <w:color w:val="010000"/>
          <w:sz w:val="20"/>
        </w:rPr>
        <w:t>2023</w:t>
      </w:r>
      <w:r w:rsidRPr="00024914">
        <w:rPr>
          <w:rFonts w:ascii="Arial" w:hAnsi="Arial" w:cs="Arial"/>
          <w:color w:val="010000"/>
          <w:sz w:val="20"/>
        </w:rPr>
        <w:t xml:space="preserve">, the Corporation has not assessed the net realizable value of outstanding, slow-moving inventory of VND </w:t>
      </w:r>
      <w:r w:rsidRPr="00024914">
        <w:rPr>
          <w:rFonts w:ascii="Arial" w:hAnsi="Arial" w:cs="Arial"/>
          <w:color w:val="010000"/>
          <w:sz w:val="20"/>
        </w:rPr>
        <w:t>72,390,660,183</w:t>
      </w:r>
      <w:r w:rsidRPr="00024914">
        <w:rPr>
          <w:rFonts w:ascii="Arial" w:hAnsi="Arial" w:cs="Arial"/>
          <w:color w:val="010000"/>
          <w:sz w:val="20"/>
        </w:rPr>
        <w:t xml:space="preserve"> (appropriation value as of </w:t>
      </w:r>
      <w:r w:rsidRPr="00024914">
        <w:rPr>
          <w:rFonts w:ascii="Arial" w:hAnsi="Arial" w:cs="Arial"/>
          <w:color w:val="010000"/>
          <w:sz w:val="20"/>
        </w:rPr>
        <w:t>January</w:t>
      </w:r>
      <w:r w:rsidRPr="00024914">
        <w:rPr>
          <w:rFonts w:ascii="Arial" w:hAnsi="Arial" w:cs="Arial"/>
          <w:color w:val="010000"/>
          <w:sz w:val="20"/>
        </w:rPr>
        <w:t xml:space="preserve"> </w:t>
      </w:r>
      <w:r w:rsidRPr="00024914">
        <w:rPr>
          <w:rFonts w:ascii="Arial" w:hAnsi="Arial" w:cs="Arial"/>
          <w:color w:val="010000"/>
          <w:sz w:val="20"/>
        </w:rPr>
        <w:t>1</w:t>
      </w:r>
      <w:r w:rsidRPr="00024914">
        <w:rPr>
          <w:rFonts w:ascii="Arial" w:hAnsi="Arial" w:cs="Arial"/>
          <w:color w:val="010000"/>
          <w:sz w:val="20"/>
        </w:rPr>
        <w:t xml:space="preserve">, </w:t>
      </w:r>
      <w:r w:rsidRPr="00024914">
        <w:rPr>
          <w:rFonts w:ascii="Arial" w:hAnsi="Arial" w:cs="Arial"/>
          <w:color w:val="010000"/>
          <w:sz w:val="20"/>
        </w:rPr>
        <w:t>2023</w:t>
      </w:r>
      <w:r w:rsidRPr="00024914">
        <w:rPr>
          <w:rFonts w:ascii="Arial" w:hAnsi="Arial" w:cs="Arial"/>
          <w:color w:val="010000"/>
          <w:sz w:val="20"/>
        </w:rPr>
        <w:t xml:space="preserve"> is VND </w:t>
      </w:r>
      <w:r w:rsidRPr="00024914">
        <w:rPr>
          <w:rFonts w:ascii="Arial" w:hAnsi="Arial" w:cs="Arial"/>
          <w:color w:val="010000"/>
          <w:sz w:val="20"/>
        </w:rPr>
        <w:t>214,484</w:t>
      </w:r>
      <w:r w:rsidRPr="00024914">
        <w:rPr>
          <w:rFonts w:ascii="Arial" w:hAnsi="Arial" w:cs="Arial"/>
          <w:color w:val="010000"/>
          <w:sz w:val="20"/>
        </w:rPr>
        <w:t>,005</w:t>
      </w:r>
      <w:r w:rsidRPr="00024914">
        <w:rPr>
          <w:rFonts w:ascii="Arial" w:hAnsi="Arial" w:cs="Arial"/>
          <w:color w:val="010000"/>
          <w:sz w:val="20"/>
        </w:rPr>
        <w:t xml:space="preserve"> out of the total outstanding, slow-moving inventory of VND </w:t>
      </w:r>
      <w:r w:rsidRPr="00024914">
        <w:rPr>
          <w:rFonts w:ascii="Arial" w:hAnsi="Arial" w:cs="Arial"/>
          <w:color w:val="010000"/>
          <w:sz w:val="20"/>
        </w:rPr>
        <w:t>93,983,707,857</w:t>
      </w:r>
      <w:r w:rsidRPr="00024914">
        <w:rPr>
          <w:rFonts w:ascii="Arial" w:hAnsi="Arial" w:cs="Arial"/>
          <w:color w:val="010000"/>
          <w:sz w:val="20"/>
        </w:rPr>
        <w:t>)..."</w:t>
      </w:r>
    </w:p>
    <w:p w14:paraId="0049C125"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For some inventory items that have been backlogged for many years (when the Corporation was a limited company) and is slow-moving, at the time of reporting, Vietnam Engine </w:t>
      </w:r>
      <w:r w:rsidRPr="00024914">
        <w:rPr>
          <w:rFonts w:ascii="Arial" w:hAnsi="Arial" w:cs="Arial"/>
          <w:color w:val="010000"/>
          <w:sz w:val="20"/>
        </w:rPr>
        <w:t>and Agricultural Machinery Corporation has not completed the market survey of similar products to obtain the basis for assessing the net realizable value of the backlog inventory.</w:t>
      </w:r>
    </w:p>
    <w:p w14:paraId="288361E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“The Corporation has not assessed the possibility of decline in the value of</w:t>
      </w:r>
      <w:r w:rsidRPr="00024914">
        <w:rPr>
          <w:rFonts w:ascii="Arial" w:hAnsi="Arial" w:cs="Arial"/>
          <w:color w:val="010000"/>
          <w:sz w:val="20"/>
        </w:rPr>
        <w:t xml:space="preserve"> its investment in its subsidiary - Material And Complete Equipment Export-Import Corporation (“Matexim”) according to the qualified opinion in the Auditor's Report on Matexim's Financial Statements </w:t>
      </w:r>
      <w:r w:rsidRPr="00024914">
        <w:rPr>
          <w:rFonts w:ascii="Arial" w:hAnsi="Arial" w:cs="Arial"/>
          <w:color w:val="010000"/>
          <w:sz w:val="20"/>
        </w:rPr>
        <w:t>2023</w:t>
      </w:r>
      <w:r w:rsidRPr="00024914">
        <w:rPr>
          <w:rFonts w:ascii="Arial" w:hAnsi="Arial" w:cs="Arial"/>
          <w:color w:val="010000"/>
          <w:sz w:val="20"/>
        </w:rPr>
        <w:t>, which includes the interest expenses, depreciation,</w:t>
      </w:r>
      <w:r w:rsidRPr="00024914">
        <w:rPr>
          <w:rFonts w:ascii="Arial" w:hAnsi="Arial" w:cs="Arial"/>
          <w:color w:val="010000"/>
          <w:sz w:val="20"/>
        </w:rPr>
        <w:t xml:space="preserve"> and land rent of the Sponge Iron Factory which stopped operations from </w:t>
      </w:r>
      <w:r w:rsidRPr="00024914">
        <w:rPr>
          <w:rFonts w:ascii="Arial" w:hAnsi="Arial" w:cs="Arial"/>
          <w:color w:val="010000"/>
          <w:sz w:val="20"/>
        </w:rPr>
        <w:t>2015</w:t>
      </w:r>
      <w:r w:rsidRPr="00024914">
        <w:rPr>
          <w:rFonts w:ascii="Arial" w:hAnsi="Arial" w:cs="Arial"/>
          <w:color w:val="010000"/>
          <w:sz w:val="20"/>
        </w:rPr>
        <w:t xml:space="preserve"> and Bac Kan Branch which is being reflected in the prepaid expenses and unfinished business expenses with a value of VND </w:t>
      </w:r>
      <w:r w:rsidRPr="00024914">
        <w:rPr>
          <w:rFonts w:ascii="Arial" w:hAnsi="Arial" w:cs="Arial"/>
          <w:color w:val="010000"/>
          <w:sz w:val="20"/>
        </w:rPr>
        <w:t>453,134,333,347</w:t>
      </w:r>
      <w:r w:rsidRPr="00024914">
        <w:rPr>
          <w:rFonts w:ascii="Arial" w:hAnsi="Arial" w:cs="Arial"/>
          <w:color w:val="010000"/>
          <w:sz w:val="20"/>
        </w:rPr>
        <w:t>.</w:t>
      </w:r>
      <w:r w:rsidRPr="00024914">
        <w:rPr>
          <w:rFonts w:ascii="Arial" w:hAnsi="Arial" w:cs="Arial"/>
          <w:color w:val="010000"/>
          <w:sz w:val="20"/>
        </w:rPr>
        <w:t xml:space="preserve"> ”</w:t>
      </w:r>
    </w:p>
    <w:p w14:paraId="53500DB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Long-term prepaid expenses at Material </w:t>
      </w:r>
      <w:r w:rsidRPr="00024914">
        <w:rPr>
          <w:rFonts w:ascii="Arial" w:hAnsi="Arial" w:cs="Arial"/>
          <w:color w:val="010000"/>
          <w:sz w:val="20"/>
        </w:rPr>
        <w:t>and Complete Equipment Export-Import Corporation are mainly depreciation expense of fixed assets, interest expense and some other costs of the Sponge Iron Factory arising from the previous years. Currently, the Sponge Iron Factory is facing difficulties an</w:t>
      </w:r>
      <w:r w:rsidRPr="00024914">
        <w:rPr>
          <w:rFonts w:ascii="Arial" w:hAnsi="Arial" w:cs="Arial"/>
          <w:color w:val="010000"/>
          <w:sz w:val="20"/>
        </w:rPr>
        <w:t>d has to stop production, so the related cost items have not been assessed yet. Material and Complete Equipment Export-Import Corporation is considering restructuring output products. The plan to increase capital at Complete Equipment Export-Import Corpora</w:t>
      </w:r>
      <w:r w:rsidRPr="00024914">
        <w:rPr>
          <w:rFonts w:ascii="Arial" w:hAnsi="Arial" w:cs="Arial"/>
          <w:color w:val="010000"/>
          <w:sz w:val="20"/>
        </w:rPr>
        <w:t>tion is carried out step by step in accordance with the law and ensures the highest benefits for Vietnam Engine and Agricultural Machinery Corporation.</w:t>
      </w:r>
    </w:p>
    <w:p w14:paraId="412A5D06" w14:textId="5791A27A"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 The Corporation has not assessed the possibility of a </w:t>
      </w:r>
      <w:r w:rsidRPr="00024914">
        <w:rPr>
          <w:rFonts w:ascii="Arial" w:hAnsi="Arial" w:cs="Arial"/>
          <w:color w:val="010000"/>
          <w:sz w:val="20"/>
        </w:rPr>
        <w:t>decline in the value of its investment in its subs</w:t>
      </w:r>
      <w:r w:rsidRPr="00024914">
        <w:rPr>
          <w:rFonts w:ascii="Arial" w:hAnsi="Arial" w:cs="Arial"/>
          <w:color w:val="010000"/>
          <w:sz w:val="20"/>
        </w:rPr>
        <w:t xml:space="preserve">idiary - Tran Hung Dao Mechanical Company Limited ("VEAMTHD") according to the qualified opinion in the Auditor’s Report on VEAMTHD's Financial Statements </w:t>
      </w:r>
      <w:r w:rsidRPr="00024914">
        <w:rPr>
          <w:rFonts w:ascii="Arial" w:hAnsi="Arial" w:cs="Arial"/>
          <w:color w:val="010000"/>
          <w:sz w:val="20"/>
        </w:rPr>
        <w:t>2023</w:t>
      </w:r>
      <w:r w:rsidRPr="00024914">
        <w:rPr>
          <w:rFonts w:ascii="Arial" w:hAnsi="Arial" w:cs="Arial"/>
          <w:color w:val="010000"/>
          <w:sz w:val="20"/>
        </w:rPr>
        <w:t>, which includes the overdue receivables for which no provisions have been made with a value of V</w:t>
      </w:r>
      <w:r w:rsidRPr="00024914">
        <w:rPr>
          <w:rFonts w:ascii="Arial" w:hAnsi="Arial" w:cs="Arial"/>
          <w:color w:val="010000"/>
          <w:sz w:val="20"/>
        </w:rPr>
        <w:t xml:space="preserve">ND </w:t>
      </w:r>
      <w:r w:rsidRPr="00024914">
        <w:rPr>
          <w:rFonts w:ascii="Arial" w:hAnsi="Arial" w:cs="Arial"/>
          <w:color w:val="010000"/>
          <w:sz w:val="20"/>
        </w:rPr>
        <w:t>43,559,719,374</w:t>
      </w:r>
      <w:r w:rsidRPr="00024914">
        <w:rPr>
          <w:rFonts w:ascii="Arial" w:hAnsi="Arial" w:cs="Arial"/>
          <w:color w:val="010000"/>
          <w:sz w:val="20"/>
        </w:rPr>
        <w:t xml:space="preserve">, outstanding inventory with a value of VND </w:t>
      </w:r>
      <w:r w:rsidRPr="00024914">
        <w:rPr>
          <w:rFonts w:ascii="Arial" w:hAnsi="Arial" w:cs="Arial"/>
          <w:color w:val="010000"/>
          <w:sz w:val="20"/>
        </w:rPr>
        <w:t>10</w:t>
      </w:r>
      <w:r w:rsidRPr="00024914">
        <w:rPr>
          <w:rFonts w:ascii="Arial" w:hAnsi="Arial" w:cs="Arial"/>
          <w:color w:val="010000"/>
          <w:sz w:val="20"/>
        </w:rPr>
        <w:t xml:space="preserve"> billion (mainly inventories arising from before the Holding Company’s equitization). The Corporation has</w:t>
      </w:r>
      <w:r w:rsidRPr="00024914">
        <w:rPr>
          <w:rFonts w:ascii="Arial" w:hAnsi="Arial" w:cs="Arial"/>
          <w:color w:val="010000"/>
          <w:sz w:val="20"/>
        </w:rPr>
        <w:t xml:space="preserve"> not yet determined their net realizable value and considered making provisions.</w:t>
      </w:r>
      <w:r w:rsidRPr="00024914">
        <w:rPr>
          <w:rFonts w:ascii="Arial" w:hAnsi="Arial" w:cs="Arial"/>
          <w:color w:val="010000"/>
          <w:sz w:val="20"/>
        </w:rPr>
        <w:t xml:space="preserve"> ”</w:t>
      </w:r>
    </w:p>
    <w:p w14:paraId="113F9695" w14:textId="384087FA"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Tran Hung Dao Mechanical Company Limited has sent receivable reconciliation to all customers, however, some customers have not responded and customers are still making payments, so there is not enough basis to make provision. Tran Hung Dao Mechanical Compa</w:t>
      </w:r>
      <w:r w:rsidRPr="00024914">
        <w:rPr>
          <w:rFonts w:ascii="Arial" w:hAnsi="Arial" w:cs="Arial"/>
          <w:color w:val="010000"/>
          <w:sz w:val="20"/>
        </w:rPr>
        <w:t>ny Limited has</w:t>
      </w:r>
      <w:r w:rsidRPr="00024914">
        <w:rPr>
          <w:rFonts w:ascii="Arial" w:hAnsi="Arial" w:cs="Arial"/>
          <w:color w:val="010000"/>
          <w:sz w:val="20"/>
        </w:rPr>
        <w:t xml:space="preserve"> established a </w:t>
      </w:r>
      <w:r w:rsidRPr="00024914">
        <w:rPr>
          <w:rFonts w:ascii="Arial" w:hAnsi="Arial" w:cs="Arial"/>
          <w:color w:val="010000"/>
          <w:sz w:val="20"/>
        </w:rPr>
        <w:lastRenderedPageBreak/>
        <w:t>Debt Collection Committee and actively implemented debt collection. Tran Hung Dao Mechanical Company Limited is researching similar products in the market to determine the net realizable value of inventories as a basis for mak</w:t>
      </w:r>
      <w:r w:rsidRPr="00024914">
        <w:rPr>
          <w:rFonts w:ascii="Arial" w:hAnsi="Arial" w:cs="Arial"/>
          <w:color w:val="010000"/>
          <w:sz w:val="20"/>
        </w:rPr>
        <w:t>ing provision.</w:t>
      </w:r>
    </w:p>
    <w:p w14:paraId="4F809F14" w14:textId="77777777" w:rsidR="005C5694" w:rsidRPr="00024914" w:rsidRDefault="00024914" w:rsidP="00024914">
      <w:pPr>
        <w:keepNext/>
        <w:numPr>
          <w:ilvl w:val="0"/>
          <w:numId w:val="5"/>
        </w:numPr>
        <w:pBdr>
          <w:top w:val="nil"/>
          <w:left w:val="nil"/>
          <w:bottom w:val="nil"/>
          <w:right w:val="nil"/>
          <w:between w:val="nil"/>
        </w:pBdr>
        <w:tabs>
          <w:tab w:val="left" w:pos="432"/>
          <w:tab w:val="left" w:pos="2333"/>
        </w:tabs>
        <w:spacing w:after="120" w:line="360" w:lineRule="auto"/>
        <w:rPr>
          <w:rFonts w:ascii="Arial" w:eastAsia="Arial" w:hAnsi="Arial" w:cs="Arial"/>
          <w:color w:val="010000"/>
          <w:sz w:val="20"/>
          <w:szCs w:val="20"/>
        </w:rPr>
      </w:pPr>
      <w:r w:rsidRPr="00024914">
        <w:rPr>
          <w:rFonts w:ascii="Arial" w:hAnsi="Arial" w:cs="Arial"/>
          <w:color w:val="010000"/>
          <w:sz w:val="20"/>
        </w:rPr>
        <w:t>Consolidated Financial Statements</w:t>
      </w:r>
    </w:p>
    <w:p w14:paraId="1463B10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“As of </w:t>
      </w:r>
      <w:r w:rsidRPr="00024914">
        <w:rPr>
          <w:rFonts w:ascii="Arial" w:hAnsi="Arial" w:cs="Arial"/>
          <w:color w:val="010000"/>
          <w:sz w:val="20"/>
        </w:rPr>
        <w:t>December</w:t>
      </w:r>
      <w:r w:rsidRPr="00024914">
        <w:rPr>
          <w:rFonts w:ascii="Arial" w:hAnsi="Arial" w:cs="Arial"/>
          <w:color w:val="010000"/>
          <w:sz w:val="20"/>
        </w:rPr>
        <w:t xml:space="preserve"> </w:t>
      </w:r>
      <w:r w:rsidRPr="00024914">
        <w:rPr>
          <w:rFonts w:ascii="Arial" w:hAnsi="Arial" w:cs="Arial"/>
          <w:color w:val="010000"/>
          <w:sz w:val="20"/>
        </w:rPr>
        <w:t>31</w:t>
      </w:r>
      <w:r w:rsidRPr="00024914">
        <w:rPr>
          <w:rFonts w:ascii="Arial" w:hAnsi="Arial" w:cs="Arial"/>
          <w:color w:val="010000"/>
          <w:sz w:val="20"/>
        </w:rPr>
        <w:t xml:space="preserve">, </w:t>
      </w:r>
      <w:r w:rsidRPr="00024914">
        <w:rPr>
          <w:rFonts w:ascii="Arial" w:hAnsi="Arial" w:cs="Arial"/>
          <w:color w:val="010000"/>
          <w:sz w:val="20"/>
        </w:rPr>
        <w:t>2023</w:t>
      </w:r>
      <w:r w:rsidRPr="00024914">
        <w:rPr>
          <w:rFonts w:ascii="Arial" w:hAnsi="Arial" w:cs="Arial"/>
          <w:color w:val="010000"/>
          <w:sz w:val="20"/>
        </w:rPr>
        <w:t xml:space="preserve">, the Corporation has not assessed the possibility of recovery for overdue receivables with a value of VND </w:t>
      </w:r>
      <w:r w:rsidRPr="00024914">
        <w:rPr>
          <w:rFonts w:ascii="Arial" w:hAnsi="Arial" w:cs="Arial"/>
          <w:color w:val="010000"/>
          <w:sz w:val="20"/>
        </w:rPr>
        <w:t>44,173,318,013</w:t>
      </w:r>
      <w:r w:rsidRPr="00024914">
        <w:rPr>
          <w:rFonts w:ascii="Arial" w:hAnsi="Arial" w:cs="Arial"/>
          <w:color w:val="010000"/>
          <w:sz w:val="20"/>
        </w:rPr>
        <w:t xml:space="preserve">, as of </w:t>
      </w:r>
      <w:r w:rsidRPr="00024914">
        <w:rPr>
          <w:rFonts w:ascii="Arial" w:hAnsi="Arial" w:cs="Arial"/>
          <w:color w:val="010000"/>
          <w:sz w:val="20"/>
        </w:rPr>
        <w:t>January</w:t>
      </w:r>
      <w:r w:rsidRPr="00024914">
        <w:rPr>
          <w:rFonts w:ascii="Arial" w:hAnsi="Arial" w:cs="Arial"/>
          <w:color w:val="010000"/>
          <w:sz w:val="20"/>
        </w:rPr>
        <w:t xml:space="preserve"> </w:t>
      </w:r>
      <w:r w:rsidRPr="00024914">
        <w:rPr>
          <w:rFonts w:ascii="Arial" w:hAnsi="Arial" w:cs="Arial"/>
          <w:color w:val="010000"/>
          <w:sz w:val="20"/>
        </w:rPr>
        <w:t>1</w:t>
      </w:r>
      <w:r w:rsidRPr="00024914">
        <w:rPr>
          <w:rFonts w:ascii="Arial" w:hAnsi="Arial" w:cs="Arial"/>
          <w:color w:val="010000"/>
          <w:sz w:val="20"/>
        </w:rPr>
        <w:t xml:space="preserve">, </w:t>
      </w:r>
      <w:r w:rsidRPr="00024914">
        <w:rPr>
          <w:rFonts w:ascii="Arial" w:hAnsi="Arial" w:cs="Arial"/>
          <w:color w:val="010000"/>
          <w:sz w:val="20"/>
        </w:rPr>
        <w:t>2023</w:t>
      </w:r>
      <w:r w:rsidRPr="00024914">
        <w:rPr>
          <w:rFonts w:ascii="Arial" w:hAnsi="Arial" w:cs="Arial"/>
          <w:color w:val="010000"/>
          <w:sz w:val="20"/>
        </w:rPr>
        <w:t xml:space="preserve">, it was VND </w:t>
      </w:r>
      <w:r w:rsidRPr="00024914">
        <w:rPr>
          <w:rFonts w:ascii="Arial" w:hAnsi="Arial" w:cs="Arial"/>
          <w:color w:val="010000"/>
          <w:sz w:val="20"/>
        </w:rPr>
        <w:t>166,081,816,385</w:t>
      </w:r>
      <w:r w:rsidRPr="00024914">
        <w:rPr>
          <w:rFonts w:ascii="Arial" w:hAnsi="Arial" w:cs="Arial"/>
          <w:color w:val="010000"/>
          <w:sz w:val="20"/>
        </w:rPr>
        <w:t xml:space="preserve"> (including</w:t>
      </w:r>
      <w:r w:rsidRPr="00024914">
        <w:rPr>
          <w:rFonts w:ascii="Arial" w:hAnsi="Arial" w:cs="Arial"/>
          <w:color w:val="010000"/>
          <w:sz w:val="20"/>
        </w:rPr>
        <w:t xml:space="preserve"> receivables of principal and interest on capital support of VND </w:t>
      </w:r>
      <w:r w:rsidRPr="00024914">
        <w:rPr>
          <w:rFonts w:ascii="Arial" w:hAnsi="Arial" w:cs="Arial"/>
          <w:color w:val="010000"/>
          <w:sz w:val="20"/>
        </w:rPr>
        <w:t>121,192,143,608</w:t>
      </w:r>
      <w:r w:rsidRPr="00024914">
        <w:rPr>
          <w:rFonts w:ascii="Arial" w:hAnsi="Arial" w:cs="Arial"/>
          <w:color w:val="010000"/>
          <w:sz w:val="20"/>
        </w:rPr>
        <w:t>)...</w:t>
      </w:r>
      <w:r w:rsidRPr="00024914">
        <w:rPr>
          <w:rFonts w:ascii="Arial" w:hAnsi="Arial" w:cs="Arial"/>
          <w:color w:val="010000"/>
          <w:sz w:val="20"/>
        </w:rPr>
        <w:t xml:space="preserve"> ”</w:t>
      </w:r>
    </w:p>
    <w:p w14:paraId="4F8A8566"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The above receivables arise from Tran Hung Dao Mechanical Company Limited and the Institute of Technology. The units have sent receivables reconciliation to all customer</w:t>
      </w:r>
      <w:r w:rsidRPr="00024914">
        <w:rPr>
          <w:rFonts w:ascii="Arial" w:hAnsi="Arial" w:cs="Arial"/>
          <w:color w:val="010000"/>
          <w:sz w:val="20"/>
        </w:rPr>
        <w:t xml:space="preserve">s, however, some customers have not responded and customers are still making payments, so there is not enough basis to make provisions. </w:t>
      </w:r>
      <w:r w:rsidRPr="00024914">
        <w:rPr>
          <w:rFonts w:ascii="Arial" w:hAnsi="Arial" w:cs="Arial"/>
          <w:color w:val="010000"/>
          <w:sz w:val="20"/>
        </w:rPr>
        <w:t>The units have established a Debt Collection Committee and actively implemented debt collection.</w:t>
      </w:r>
    </w:p>
    <w:p w14:paraId="102C7492"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“On </w:t>
      </w:r>
      <w:r w:rsidRPr="00024914">
        <w:rPr>
          <w:rFonts w:ascii="Arial" w:hAnsi="Arial" w:cs="Arial"/>
          <w:color w:val="010000"/>
          <w:sz w:val="20"/>
        </w:rPr>
        <w:t>December</w:t>
      </w:r>
      <w:r w:rsidRPr="00024914">
        <w:rPr>
          <w:rFonts w:ascii="Arial" w:hAnsi="Arial" w:cs="Arial"/>
          <w:color w:val="010000"/>
          <w:sz w:val="20"/>
        </w:rPr>
        <w:t xml:space="preserve"> </w:t>
      </w:r>
      <w:r w:rsidRPr="00024914">
        <w:rPr>
          <w:rFonts w:ascii="Arial" w:hAnsi="Arial" w:cs="Arial"/>
          <w:color w:val="010000"/>
          <w:sz w:val="20"/>
        </w:rPr>
        <w:t>31</w:t>
      </w:r>
      <w:r w:rsidRPr="00024914">
        <w:rPr>
          <w:rFonts w:ascii="Arial" w:hAnsi="Arial" w:cs="Arial"/>
          <w:color w:val="010000"/>
          <w:sz w:val="20"/>
        </w:rPr>
        <w:t xml:space="preserve">, </w:t>
      </w:r>
      <w:r w:rsidRPr="00024914">
        <w:rPr>
          <w:rFonts w:ascii="Arial" w:hAnsi="Arial" w:cs="Arial"/>
          <w:color w:val="010000"/>
          <w:sz w:val="20"/>
        </w:rPr>
        <w:t>2023</w:t>
      </w:r>
      <w:r w:rsidRPr="00024914">
        <w:rPr>
          <w:rFonts w:ascii="Arial" w:hAnsi="Arial" w:cs="Arial"/>
          <w:color w:val="010000"/>
          <w:sz w:val="20"/>
        </w:rPr>
        <w:t xml:space="preserve">, </w:t>
      </w:r>
      <w:r w:rsidRPr="00024914">
        <w:rPr>
          <w:rFonts w:ascii="Arial" w:hAnsi="Arial" w:cs="Arial"/>
          <w:color w:val="010000"/>
          <w:sz w:val="20"/>
        </w:rPr>
        <w:t xml:space="preserve">the Corporation made a provision for devaluation of inventory of VND </w:t>
      </w:r>
      <w:r w:rsidRPr="00024914">
        <w:rPr>
          <w:rFonts w:ascii="Arial" w:hAnsi="Arial" w:cs="Arial"/>
          <w:color w:val="010000"/>
          <w:sz w:val="20"/>
        </w:rPr>
        <w:t>739,372,385</w:t>
      </w:r>
      <w:r w:rsidRPr="00024914">
        <w:rPr>
          <w:rFonts w:ascii="Arial" w:hAnsi="Arial" w:cs="Arial"/>
          <w:color w:val="010000"/>
          <w:sz w:val="20"/>
        </w:rPr>
        <w:t xml:space="preserve"> out of the total value of outstanding, slow-moving inventory of VND </w:t>
      </w:r>
      <w:r w:rsidRPr="00024914">
        <w:rPr>
          <w:rFonts w:ascii="Arial" w:hAnsi="Arial" w:cs="Arial"/>
          <w:color w:val="010000"/>
          <w:sz w:val="20"/>
        </w:rPr>
        <w:t>106,818,758,390</w:t>
      </w:r>
      <w:r w:rsidRPr="00024914">
        <w:rPr>
          <w:rFonts w:ascii="Arial" w:hAnsi="Arial" w:cs="Arial"/>
          <w:color w:val="010000"/>
          <w:sz w:val="20"/>
        </w:rPr>
        <w:t xml:space="preserve"> (The value appropriated as of </w:t>
      </w:r>
      <w:r w:rsidRPr="00024914">
        <w:rPr>
          <w:rFonts w:ascii="Arial" w:hAnsi="Arial" w:cs="Arial"/>
          <w:color w:val="010000"/>
          <w:sz w:val="20"/>
        </w:rPr>
        <w:t>January</w:t>
      </w:r>
      <w:r w:rsidRPr="00024914">
        <w:rPr>
          <w:rFonts w:ascii="Arial" w:hAnsi="Arial" w:cs="Arial"/>
          <w:color w:val="010000"/>
          <w:sz w:val="20"/>
        </w:rPr>
        <w:t xml:space="preserve"> </w:t>
      </w:r>
      <w:r w:rsidRPr="00024914">
        <w:rPr>
          <w:rFonts w:ascii="Arial" w:hAnsi="Arial" w:cs="Arial"/>
          <w:color w:val="010000"/>
          <w:sz w:val="20"/>
        </w:rPr>
        <w:t>1</w:t>
      </w:r>
      <w:r w:rsidRPr="00024914">
        <w:rPr>
          <w:rFonts w:ascii="Arial" w:hAnsi="Arial" w:cs="Arial"/>
          <w:color w:val="010000"/>
          <w:sz w:val="20"/>
        </w:rPr>
        <w:t xml:space="preserve">, </w:t>
      </w:r>
      <w:r w:rsidRPr="00024914">
        <w:rPr>
          <w:rFonts w:ascii="Arial" w:hAnsi="Arial" w:cs="Arial"/>
          <w:color w:val="010000"/>
          <w:sz w:val="20"/>
        </w:rPr>
        <w:t>2023</w:t>
      </w:r>
      <w:r w:rsidRPr="00024914">
        <w:rPr>
          <w:rFonts w:ascii="Arial" w:hAnsi="Arial" w:cs="Arial"/>
          <w:color w:val="010000"/>
          <w:sz w:val="20"/>
        </w:rPr>
        <w:t xml:space="preserve"> is VND </w:t>
      </w:r>
      <w:r w:rsidRPr="00024914">
        <w:rPr>
          <w:rFonts w:ascii="Arial" w:hAnsi="Arial" w:cs="Arial"/>
          <w:color w:val="010000"/>
          <w:sz w:val="20"/>
        </w:rPr>
        <w:t>1,007,856,390</w:t>
      </w:r>
      <w:r w:rsidRPr="00024914">
        <w:rPr>
          <w:rFonts w:ascii="Arial" w:hAnsi="Arial" w:cs="Arial"/>
          <w:color w:val="010000"/>
          <w:sz w:val="20"/>
        </w:rPr>
        <w:t xml:space="preserve"> out of the total value o</w:t>
      </w:r>
      <w:r w:rsidRPr="00024914">
        <w:rPr>
          <w:rFonts w:ascii="Arial" w:hAnsi="Arial" w:cs="Arial"/>
          <w:color w:val="010000"/>
          <w:sz w:val="20"/>
        </w:rPr>
        <w:t xml:space="preserve">f outstanding, slow-moving inventory of VND </w:t>
      </w:r>
      <w:r w:rsidRPr="00024914">
        <w:rPr>
          <w:rFonts w:ascii="Arial" w:hAnsi="Arial" w:cs="Arial"/>
          <w:color w:val="010000"/>
          <w:sz w:val="20"/>
        </w:rPr>
        <w:t>123,814,327,969</w:t>
      </w:r>
      <w:r w:rsidRPr="00024914">
        <w:rPr>
          <w:rFonts w:ascii="Arial" w:hAnsi="Arial" w:cs="Arial"/>
          <w:color w:val="010000"/>
          <w:sz w:val="20"/>
        </w:rPr>
        <w:t>)...</w:t>
      </w:r>
      <w:r w:rsidRPr="00024914">
        <w:rPr>
          <w:rFonts w:ascii="Arial" w:hAnsi="Arial" w:cs="Arial"/>
          <w:color w:val="010000"/>
          <w:sz w:val="20"/>
        </w:rPr>
        <w:t xml:space="preserve"> ”</w:t>
      </w:r>
    </w:p>
    <w:p w14:paraId="1480C8B4"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For some items with backlogged inventory from many years ago (limited company period) and is slow-moving at the Holding Company and Subsidiaries, at the time of making the report, the units </w:t>
      </w:r>
      <w:r w:rsidRPr="00024914">
        <w:rPr>
          <w:rFonts w:ascii="Arial" w:hAnsi="Arial" w:cs="Arial"/>
          <w:color w:val="010000"/>
          <w:sz w:val="20"/>
        </w:rPr>
        <w:t>had not completed a market survey of products of the same type to have a basis for assessing the net realizable value of the outstanding goods.</w:t>
      </w:r>
    </w:p>
    <w:p w14:paraId="2BA055B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“As of </w:t>
      </w:r>
      <w:r w:rsidRPr="00024914">
        <w:rPr>
          <w:rFonts w:ascii="Arial" w:hAnsi="Arial" w:cs="Arial"/>
          <w:color w:val="010000"/>
          <w:sz w:val="20"/>
        </w:rPr>
        <w:t>December</w:t>
      </w:r>
      <w:r w:rsidRPr="00024914">
        <w:rPr>
          <w:rFonts w:ascii="Arial" w:hAnsi="Arial" w:cs="Arial"/>
          <w:color w:val="010000"/>
          <w:sz w:val="20"/>
        </w:rPr>
        <w:t xml:space="preserve"> </w:t>
      </w:r>
      <w:r w:rsidRPr="00024914">
        <w:rPr>
          <w:rFonts w:ascii="Arial" w:hAnsi="Arial" w:cs="Arial"/>
          <w:color w:val="010000"/>
          <w:sz w:val="20"/>
        </w:rPr>
        <w:t>31</w:t>
      </w:r>
      <w:r w:rsidRPr="00024914">
        <w:rPr>
          <w:rFonts w:ascii="Arial" w:hAnsi="Arial" w:cs="Arial"/>
          <w:color w:val="010000"/>
          <w:sz w:val="20"/>
        </w:rPr>
        <w:t xml:space="preserve">, </w:t>
      </w:r>
      <w:r w:rsidRPr="00024914">
        <w:rPr>
          <w:rFonts w:ascii="Arial" w:hAnsi="Arial" w:cs="Arial"/>
          <w:color w:val="010000"/>
          <w:sz w:val="20"/>
        </w:rPr>
        <w:t>2023</w:t>
      </w:r>
      <w:r w:rsidRPr="00024914">
        <w:rPr>
          <w:rFonts w:ascii="Arial" w:hAnsi="Arial" w:cs="Arial"/>
          <w:color w:val="010000"/>
          <w:sz w:val="20"/>
        </w:rPr>
        <w:t xml:space="preserve">, a number of expenses are suspended pending processing with a value of VND </w:t>
      </w:r>
      <w:r w:rsidRPr="00024914">
        <w:rPr>
          <w:rFonts w:ascii="Arial" w:hAnsi="Arial" w:cs="Arial"/>
          <w:color w:val="010000"/>
          <w:sz w:val="20"/>
        </w:rPr>
        <w:t>456,927,529,</w:t>
      </w:r>
      <w:r w:rsidRPr="00024914">
        <w:rPr>
          <w:rFonts w:ascii="Arial" w:hAnsi="Arial" w:cs="Arial"/>
          <w:color w:val="010000"/>
          <w:sz w:val="20"/>
        </w:rPr>
        <w:t>750</w:t>
      </w:r>
      <w:r w:rsidRPr="00024914">
        <w:rPr>
          <w:rFonts w:ascii="Arial" w:hAnsi="Arial" w:cs="Arial"/>
          <w:color w:val="010000"/>
          <w:sz w:val="20"/>
        </w:rPr>
        <w:t xml:space="preserve"> (including</w:t>
      </w:r>
      <w:r w:rsidRPr="00024914">
        <w:rPr>
          <w:rFonts w:ascii="Arial" w:hAnsi="Arial" w:cs="Arial"/>
          <w:color w:val="010000"/>
          <w:sz w:val="20"/>
        </w:rPr>
        <w:t>:</w:t>
      </w:r>
      <w:r w:rsidRPr="00024914">
        <w:rPr>
          <w:rFonts w:ascii="Arial" w:hAnsi="Arial" w:cs="Arial"/>
          <w:color w:val="010000"/>
          <w:sz w:val="20"/>
        </w:rPr>
        <w:t xml:space="preserve"> Interest expenses, depreciation, land rent of the Sponge Iron Factory that stopped operating since </w:t>
      </w:r>
      <w:r w:rsidRPr="00024914">
        <w:rPr>
          <w:rFonts w:ascii="Arial" w:hAnsi="Arial" w:cs="Arial"/>
          <w:color w:val="010000"/>
          <w:sz w:val="20"/>
        </w:rPr>
        <w:t>2015</w:t>
      </w:r>
      <w:r w:rsidRPr="00024914">
        <w:rPr>
          <w:rFonts w:ascii="Arial" w:hAnsi="Arial" w:cs="Arial"/>
          <w:color w:val="010000"/>
          <w:sz w:val="20"/>
        </w:rPr>
        <w:t xml:space="preserve"> and the Bac Kan Branch of Material And Complete Equipment Export-Import Corporation ("Matexim") of VND </w:t>
      </w:r>
      <w:r w:rsidRPr="00024914">
        <w:rPr>
          <w:rFonts w:ascii="Arial" w:hAnsi="Arial" w:cs="Arial"/>
          <w:color w:val="010000"/>
          <w:sz w:val="20"/>
        </w:rPr>
        <w:t>453,134,333,347</w:t>
      </w:r>
      <w:r w:rsidRPr="00024914">
        <w:rPr>
          <w:rFonts w:ascii="Arial" w:hAnsi="Arial" w:cs="Arial"/>
          <w:color w:val="010000"/>
          <w:sz w:val="20"/>
        </w:rPr>
        <w:t>) that are reflect</w:t>
      </w:r>
      <w:r w:rsidRPr="00024914">
        <w:rPr>
          <w:rFonts w:ascii="Arial" w:hAnsi="Arial" w:cs="Arial"/>
          <w:color w:val="010000"/>
          <w:sz w:val="20"/>
        </w:rPr>
        <w:t>ed in prepaid expenses and production and business expenses in progress... ”</w:t>
      </w:r>
    </w:p>
    <w:p w14:paraId="410438E6"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Long-term prepaid expenses at Material and Complete Equipment Export-Import Corporation are mainly depreciation expense of fixed assets, interest expense and some other costs of t</w:t>
      </w:r>
      <w:r w:rsidRPr="00024914">
        <w:rPr>
          <w:rFonts w:ascii="Arial" w:hAnsi="Arial" w:cs="Arial"/>
          <w:color w:val="010000"/>
          <w:sz w:val="20"/>
        </w:rPr>
        <w:t>he Sponge Iron Factory arising from the previous years. Currently, the Sponge Iron Factory is facing difficulties and has to stop production, so the related cost items have not been assessed yet. Material and Complete Equipment Export-Import Corporation is</w:t>
      </w:r>
      <w:r w:rsidRPr="00024914">
        <w:rPr>
          <w:rFonts w:ascii="Arial" w:hAnsi="Arial" w:cs="Arial"/>
          <w:color w:val="010000"/>
          <w:sz w:val="20"/>
        </w:rPr>
        <w:t xml:space="preserve"> considering restructuring output products. The plan to increase capital at Complete Equipment Export-Import Corporation is carried out step by step in accordance with the law and ensures the highest benefits for Vietnam Engine and Agricultural Machinery C</w:t>
      </w:r>
      <w:r w:rsidRPr="00024914">
        <w:rPr>
          <w:rFonts w:ascii="Arial" w:hAnsi="Arial" w:cs="Arial"/>
          <w:color w:val="010000"/>
          <w:sz w:val="20"/>
        </w:rPr>
        <w:t>orporation.</w:t>
      </w:r>
    </w:p>
    <w:p w14:paraId="5A07A1F9" w14:textId="77777777" w:rsidR="005C5694" w:rsidRPr="00024914" w:rsidRDefault="00024914" w:rsidP="00024914">
      <w:pPr>
        <w:numPr>
          <w:ilvl w:val="0"/>
          <w:numId w:val="4"/>
        </w:numPr>
        <w:pBdr>
          <w:top w:val="nil"/>
          <w:left w:val="nil"/>
          <w:bottom w:val="nil"/>
          <w:right w:val="nil"/>
          <w:between w:val="nil"/>
        </w:pBdr>
        <w:tabs>
          <w:tab w:val="left" w:pos="432"/>
          <w:tab w:val="left" w:pos="2438"/>
          <w:tab w:val="left" w:pos="10436"/>
        </w:tabs>
        <w:spacing w:after="120" w:line="360" w:lineRule="auto"/>
        <w:rPr>
          <w:rFonts w:ascii="Arial" w:eastAsia="Arial" w:hAnsi="Arial" w:cs="Arial"/>
          <w:color w:val="010000"/>
          <w:sz w:val="20"/>
          <w:szCs w:val="20"/>
        </w:rPr>
      </w:pPr>
      <w:r w:rsidRPr="00024914">
        <w:rPr>
          <w:rFonts w:ascii="Arial" w:hAnsi="Arial" w:cs="Arial"/>
          <w:color w:val="010000"/>
          <w:sz w:val="20"/>
        </w:rPr>
        <w:t>Explanation on the fluctuation in profit after tax</w:t>
      </w:r>
    </w:p>
    <w:p w14:paraId="71DDC62A" w14:textId="77777777" w:rsidR="005C5694" w:rsidRPr="00024914" w:rsidRDefault="00024914" w:rsidP="00024914">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4914">
        <w:rPr>
          <w:rFonts w:ascii="Arial" w:hAnsi="Arial" w:cs="Arial"/>
          <w:color w:val="010000"/>
          <w:sz w:val="20"/>
        </w:rPr>
        <w:t>Separate Financial Statements</w:t>
      </w:r>
    </w:p>
    <w:p w14:paraId="64082AF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Profit after tax in </w:t>
      </w:r>
      <w:r w:rsidRPr="00024914">
        <w:rPr>
          <w:rFonts w:ascii="Arial" w:hAnsi="Arial" w:cs="Arial"/>
          <w:color w:val="010000"/>
          <w:sz w:val="20"/>
        </w:rPr>
        <w:t>2023</w:t>
      </w:r>
      <w:r w:rsidRPr="00024914">
        <w:rPr>
          <w:rFonts w:ascii="Arial" w:hAnsi="Arial" w:cs="Arial"/>
          <w:color w:val="010000"/>
          <w:sz w:val="20"/>
        </w:rPr>
        <w:t xml:space="preserve"> in the Audited Separate Financial Statements (Holding Company) changes as follows</w:t>
      </w:r>
      <w:r w:rsidRPr="00024914">
        <w:rPr>
          <w:rFonts w:ascii="Arial" w:hAnsi="Arial" w:cs="Arial"/>
          <w:color w:val="010000"/>
          <w:sz w:val="20"/>
        </w:rPr>
        <w:t>:</w:t>
      </w:r>
    </w:p>
    <w:p w14:paraId="28666EA7" w14:textId="77777777" w:rsidR="005C5694" w:rsidRPr="00024914" w:rsidRDefault="00024914" w:rsidP="000249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24914">
        <w:rPr>
          <w:rFonts w:ascii="Arial" w:hAnsi="Arial" w:cs="Arial"/>
          <w:color w:val="010000"/>
          <w:sz w:val="20"/>
        </w:rPr>
        <w:lastRenderedPageBreak/>
        <w:t xml:space="preserve">Table </w:t>
      </w:r>
      <w:r w:rsidRPr="00024914">
        <w:rPr>
          <w:rFonts w:ascii="Arial" w:hAnsi="Arial" w:cs="Arial"/>
          <w:color w:val="010000"/>
          <w:sz w:val="20"/>
        </w:rPr>
        <w:t>1:</w:t>
      </w:r>
      <w:r w:rsidRPr="00024914">
        <w:rPr>
          <w:rFonts w:ascii="Arial" w:hAnsi="Arial" w:cs="Arial"/>
          <w:color w:val="010000"/>
          <w:sz w:val="20"/>
        </w:rPr>
        <w:t xml:space="preserve"> Difference in the production and business activities results of the Holding Company in </w:t>
      </w:r>
      <w:r w:rsidRPr="00024914">
        <w:rPr>
          <w:rFonts w:ascii="Arial" w:hAnsi="Arial" w:cs="Arial"/>
          <w:color w:val="010000"/>
          <w:sz w:val="20"/>
        </w:rPr>
        <w:t>2023</w:t>
      </w:r>
    </w:p>
    <w:tbl>
      <w:tblPr>
        <w:tblStyle w:val="a"/>
        <w:tblW w:w="5000" w:type="pct"/>
        <w:tblLook w:val="0400" w:firstRow="0" w:lastRow="0" w:firstColumn="0" w:lastColumn="0" w:noHBand="0" w:noVBand="1"/>
      </w:tblPr>
      <w:tblGrid>
        <w:gridCol w:w="2548"/>
        <w:gridCol w:w="1861"/>
        <w:gridCol w:w="1757"/>
        <w:gridCol w:w="1861"/>
        <w:gridCol w:w="990"/>
      </w:tblGrid>
      <w:tr w:rsidR="005C5694" w:rsidRPr="00024914" w14:paraId="360F7689" w14:textId="77777777" w:rsidTr="00024914">
        <w:tc>
          <w:tcPr>
            <w:tcW w:w="1413" w:type="pct"/>
            <w:vMerge w:val="restart"/>
            <w:tcBorders>
              <w:top w:val="single" w:sz="4" w:space="0" w:color="000000"/>
              <w:left w:val="single" w:sz="4" w:space="0" w:color="000000"/>
            </w:tcBorders>
            <w:shd w:val="clear" w:color="auto" w:fill="auto"/>
            <w:vAlign w:val="center"/>
          </w:tcPr>
          <w:p w14:paraId="7CAFB35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Targets</w:t>
            </w:r>
          </w:p>
        </w:tc>
        <w:tc>
          <w:tcPr>
            <w:tcW w:w="1032" w:type="pct"/>
            <w:tcBorders>
              <w:top w:val="single" w:sz="4" w:space="0" w:color="000000"/>
              <w:left w:val="single" w:sz="4" w:space="0" w:color="000000"/>
            </w:tcBorders>
            <w:shd w:val="clear" w:color="auto" w:fill="auto"/>
            <w:vAlign w:val="center"/>
          </w:tcPr>
          <w:p w14:paraId="7B80E78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In </w:t>
            </w:r>
            <w:r w:rsidRPr="00024914">
              <w:rPr>
                <w:rFonts w:ascii="Arial" w:hAnsi="Arial" w:cs="Arial"/>
                <w:color w:val="010000"/>
                <w:sz w:val="20"/>
              </w:rPr>
              <w:t>2023</w:t>
            </w:r>
          </w:p>
        </w:tc>
        <w:tc>
          <w:tcPr>
            <w:tcW w:w="974" w:type="pct"/>
            <w:tcBorders>
              <w:top w:val="single" w:sz="4" w:space="0" w:color="000000"/>
              <w:left w:val="single" w:sz="4" w:space="0" w:color="000000"/>
            </w:tcBorders>
            <w:shd w:val="clear" w:color="auto" w:fill="auto"/>
            <w:vAlign w:val="center"/>
          </w:tcPr>
          <w:p w14:paraId="1B3FF44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In </w:t>
            </w:r>
            <w:r w:rsidRPr="00024914">
              <w:rPr>
                <w:rFonts w:ascii="Arial" w:hAnsi="Arial" w:cs="Arial"/>
                <w:color w:val="010000"/>
                <w:sz w:val="20"/>
              </w:rPr>
              <w:t>2022</w:t>
            </w:r>
          </w:p>
        </w:tc>
        <w:tc>
          <w:tcPr>
            <w:tcW w:w="1581" w:type="pct"/>
            <w:gridSpan w:val="2"/>
            <w:tcBorders>
              <w:top w:val="single" w:sz="4" w:space="0" w:color="000000"/>
              <w:left w:val="single" w:sz="4" w:space="0" w:color="000000"/>
              <w:right w:val="single" w:sz="4" w:space="0" w:color="000000"/>
            </w:tcBorders>
            <w:shd w:val="clear" w:color="auto" w:fill="auto"/>
            <w:vAlign w:val="center"/>
          </w:tcPr>
          <w:p w14:paraId="7F8BECF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Difference</w:t>
            </w:r>
          </w:p>
        </w:tc>
      </w:tr>
      <w:tr w:rsidR="005C5694" w:rsidRPr="00024914" w14:paraId="46EA2EFF" w14:textId="77777777" w:rsidTr="00024914">
        <w:tc>
          <w:tcPr>
            <w:tcW w:w="1413" w:type="pct"/>
            <w:vMerge/>
            <w:tcBorders>
              <w:top w:val="single" w:sz="4" w:space="0" w:color="000000"/>
              <w:left w:val="single" w:sz="4" w:space="0" w:color="000000"/>
            </w:tcBorders>
            <w:shd w:val="clear" w:color="auto" w:fill="auto"/>
            <w:vAlign w:val="center"/>
          </w:tcPr>
          <w:p w14:paraId="0A432A55" w14:textId="77777777" w:rsidR="005C5694" w:rsidRPr="00024914" w:rsidRDefault="005C5694" w:rsidP="00024914">
            <w:pPr>
              <w:pBdr>
                <w:top w:val="nil"/>
                <w:left w:val="nil"/>
                <w:bottom w:val="nil"/>
                <w:right w:val="nil"/>
                <w:between w:val="nil"/>
              </w:pBdr>
              <w:spacing w:after="120" w:line="360" w:lineRule="auto"/>
              <w:rPr>
                <w:rFonts w:ascii="Arial" w:eastAsia="Arial" w:hAnsi="Arial" w:cs="Arial"/>
                <w:color w:val="010000"/>
                <w:sz w:val="20"/>
                <w:szCs w:val="20"/>
              </w:rPr>
            </w:pPr>
          </w:p>
        </w:tc>
        <w:tc>
          <w:tcPr>
            <w:tcW w:w="1032" w:type="pct"/>
            <w:tcBorders>
              <w:top w:val="single" w:sz="4" w:space="0" w:color="000000"/>
              <w:left w:val="single" w:sz="4" w:space="0" w:color="000000"/>
            </w:tcBorders>
            <w:shd w:val="clear" w:color="auto" w:fill="auto"/>
            <w:vAlign w:val="center"/>
          </w:tcPr>
          <w:p w14:paraId="4DBBBA12"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(VND)</w:t>
            </w:r>
          </w:p>
        </w:tc>
        <w:tc>
          <w:tcPr>
            <w:tcW w:w="974" w:type="pct"/>
            <w:tcBorders>
              <w:top w:val="single" w:sz="4" w:space="0" w:color="000000"/>
              <w:left w:val="single" w:sz="4" w:space="0" w:color="000000"/>
            </w:tcBorders>
            <w:shd w:val="clear" w:color="auto" w:fill="auto"/>
            <w:vAlign w:val="center"/>
          </w:tcPr>
          <w:p w14:paraId="35DE3169"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(VND)</w:t>
            </w:r>
          </w:p>
        </w:tc>
        <w:tc>
          <w:tcPr>
            <w:tcW w:w="1032" w:type="pct"/>
            <w:tcBorders>
              <w:top w:val="single" w:sz="4" w:space="0" w:color="000000"/>
              <w:left w:val="single" w:sz="4" w:space="0" w:color="000000"/>
            </w:tcBorders>
            <w:shd w:val="clear" w:color="auto" w:fill="auto"/>
            <w:vAlign w:val="center"/>
          </w:tcPr>
          <w:p w14:paraId="281A601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Value (VND)</w:t>
            </w:r>
          </w:p>
        </w:tc>
        <w:tc>
          <w:tcPr>
            <w:tcW w:w="549" w:type="pct"/>
            <w:tcBorders>
              <w:top w:val="single" w:sz="4" w:space="0" w:color="000000"/>
              <w:left w:val="single" w:sz="4" w:space="0" w:color="000000"/>
              <w:right w:val="single" w:sz="4" w:space="0" w:color="000000"/>
            </w:tcBorders>
            <w:shd w:val="clear" w:color="auto" w:fill="auto"/>
            <w:vAlign w:val="center"/>
          </w:tcPr>
          <w:p w14:paraId="16E41444"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Rate (%)</w:t>
            </w:r>
          </w:p>
        </w:tc>
      </w:tr>
      <w:tr w:rsidR="005C5694" w:rsidRPr="00024914" w14:paraId="0FE30CB0" w14:textId="77777777" w:rsidTr="00024914">
        <w:tc>
          <w:tcPr>
            <w:tcW w:w="1413" w:type="pct"/>
            <w:tcBorders>
              <w:top w:val="single" w:sz="4" w:space="0" w:color="000000"/>
              <w:left w:val="single" w:sz="4" w:space="0" w:color="000000"/>
            </w:tcBorders>
            <w:shd w:val="clear" w:color="auto" w:fill="auto"/>
            <w:vAlign w:val="center"/>
          </w:tcPr>
          <w:p w14:paraId="2119D29E"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Net revenue from goods sales and service provision</w:t>
            </w:r>
          </w:p>
        </w:tc>
        <w:tc>
          <w:tcPr>
            <w:tcW w:w="1032" w:type="pct"/>
            <w:tcBorders>
              <w:top w:val="single" w:sz="4" w:space="0" w:color="000000"/>
              <w:left w:val="single" w:sz="4" w:space="0" w:color="000000"/>
            </w:tcBorders>
            <w:shd w:val="clear" w:color="auto" w:fill="auto"/>
            <w:vAlign w:val="center"/>
          </w:tcPr>
          <w:p w14:paraId="76B1B30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318,486,100,510</w:t>
            </w:r>
          </w:p>
        </w:tc>
        <w:tc>
          <w:tcPr>
            <w:tcW w:w="974" w:type="pct"/>
            <w:tcBorders>
              <w:top w:val="single" w:sz="4" w:space="0" w:color="000000"/>
              <w:left w:val="single" w:sz="4" w:space="0" w:color="000000"/>
            </w:tcBorders>
            <w:shd w:val="clear" w:color="auto" w:fill="auto"/>
            <w:vAlign w:val="center"/>
          </w:tcPr>
          <w:p w14:paraId="1A2E76F4"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533,178,199,478</w:t>
            </w:r>
          </w:p>
        </w:tc>
        <w:tc>
          <w:tcPr>
            <w:tcW w:w="1032" w:type="pct"/>
            <w:tcBorders>
              <w:top w:val="single" w:sz="4" w:space="0" w:color="000000"/>
              <w:left w:val="single" w:sz="4" w:space="0" w:color="000000"/>
            </w:tcBorders>
            <w:shd w:val="clear" w:color="auto" w:fill="auto"/>
            <w:vAlign w:val="center"/>
          </w:tcPr>
          <w:p w14:paraId="03962CE9"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214,692,098,968</w:t>
            </w:r>
            <w:r w:rsidRPr="00024914">
              <w:rPr>
                <w:rFonts w:ascii="Arial" w:hAnsi="Arial" w:cs="Arial"/>
                <w:color w:val="010000"/>
                <w:sz w:val="20"/>
              </w:rPr>
              <w:t>)</w:t>
            </w:r>
          </w:p>
        </w:tc>
        <w:tc>
          <w:tcPr>
            <w:tcW w:w="549" w:type="pct"/>
            <w:tcBorders>
              <w:top w:val="single" w:sz="4" w:space="0" w:color="000000"/>
              <w:left w:val="single" w:sz="4" w:space="0" w:color="000000"/>
              <w:right w:val="single" w:sz="4" w:space="0" w:color="000000"/>
            </w:tcBorders>
            <w:shd w:val="clear" w:color="auto" w:fill="auto"/>
            <w:vAlign w:val="center"/>
          </w:tcPr>
          <w:p w14:paraId="334597F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40</w:t>
            </w:r>
            <w:r w:rsidRPr="00024914">
              <w:rPr>
                <w:rFonts w:ascii="Arial" w:hAnsi="Arial" w:cs="Arial"/>
                <w:color w:val="010000"/>
                <w:sz w:val="20"/>
              </w:rPr>
              <w:t>%</w:t>
            </w:r>
          </w:p>
        </w:tc>
      </w:tr>
      <w:tr w:rsidR="005C5694" w:rsidRPr="00024914" w14:paraId="0EF1AC0E" w14:textId="77777777" w:rsidTr="00024914">
        <w:tc>
          <w:tcPr>
            <w:tcW w:w="1413" w:type="pct"/>
            <w:tcBorders>
              <w:top w:val="single" w:sz="4" w:space="0" w:color="000000"/>
              <w:left w:val="single" w:sz="4" w:space="0" w:color="000000"/>
            </w:tcBorders>
            <w:shd w:val="clear" w:color="auto" w:fill="auto"/>
            <w:vAlign w:val="center"/>
          </w:tcPr>
          <w:p w14:paraId="146A736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Cost of goods sold</w:t>
            </w:r>
          </w:p>
        </w:tc>
        <w:tc>
          <w:tcPr>
            <w:tcW w:w="1032" w:type="pct"/>
            <w:tcBorders>
              <w:top w:val="single" w:sz="4" w:space="0" w:color="000000"/>
              <w:left w:val="single" w:sz="4" w:space="0" w:color="000000"/>
            </w:tcBorders>
            <w:shd w:val="clear" w:color="auto" w:fill="auto"/>
            <w:vAlign w:val="center"/>
          </w:tcPr>
          <w:p w14:paraId="52D9605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431,133,154,018</w:t>
            </w:r>
          </w:p>
        </w:tc>
        <w:tc>
          <w:tcPr>
            <w:tcW w:w="974" w:type="pct"/>
            <w:tcBorders>
              <w:top w:val="single" w:sz="4" w:space="0" w:color="000000"/>
              <w:left w:val="single" w:sz="4" w:space="0" w:color="000000"/>
            </w:tcBorders>
            <w:shd w:val="clear" w:color="auto" w:fill="auto"/>
            <w:vAlign w:val="center"/>
          </w:tcPr>
          <w:p w14:paraId="7851354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495,774,401,813</w:t>
            </w:r>
          </w:p>
        </w:tc>
        <w:tc>
          <w:tcPr>
            <w:tcW w:w="1032" w:type="pct"/>
            <w:tcBorders>
              <w:top w:val="single" w:sz="4" w:space="0" w:color="000000"/>
              <w:left w:val="single" w:sz="4" w:space="0" w:color="000000"/>
            </w:tcBorders>
            <w:shd w:val="clear" w:color="auto" w:fill="auto"/>
            <w:vAlign w:val="center"/>
          </w:tcPr>
          <w:p w14:paraId="5E76D36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64,641,247,795</w:t>
            </w:r>
            <w:r w:rsidRPr="00024914">
              <w:rPr>
                <w:rFonts w:ascii="Arial" w:hAnsi="Arial" w:cs="Arial"/>
                <w:color w:val="010000"/>
                <w:sz w:val="20"/>
              </w:rPr>
              <w:t>)</w:t>
            </w:r>
          </w:p>
        </w:tc>
        <w:tc>
          <w:tcPr>
            <w:tcW w:w="549" w:type="pct"/>
            <w:tcBorders>
              <w:top w:val="single" w:sz="4" w:space="0" w:color="000000"/>
              <w:left w:val="single" w:sz="4" w:space="0" w:color="000000"/>
              <w:right w:val="single" w:sz="4" w:space="0" w:color="000000"/>
            </w:tcBorders>
            <w:shd w:val="clear" w:color="auto" w:fill="auto"/>
            <w:vAlign w:val="center"/>
          </w:tcPr>
          <w:p w14:paraId="0F9980D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13</w:t>
            </w:r>
            <w:r w:rsidRPr="00024914">
              <w:rPr>
                <w:rFonts w:ascii="Arial" w:hAnsi="Arial" w:cs="Arial"/>
                <w:color w:val="010000"/>
                <w:sz w:val="20"/>
              </w:rPr>
              <w:t>%</w:t>
            </w:r>
          </w:p>
        </w:tc>
      </w:tr>
      <w:tr w:rsidR="005C5694" w:rsidRPr="00024914" w14:paraId="6ACDEE69" w14:textId="77777777" w:rsidTr="00024914">
        <w:tc>
          <w:tcPr>
            <w:tcW w:w="1413" w:type="pct"/>
            <w:tcBorders>
              <w:top w:val="single" w:sz="4" w:space="0" w:color="000000"/>
              <w:left w:val="single" w:sz="4" w:space="0" w:color="000000"/>
            </w:tcBorders>
            <w:shd w:val="clear" w:color="auto" w:fill="auto"/>
            <w:vAlign w:val="center"/>
          </w:tcPr>
          <w:p w14:paraId="68623BA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Gross profit from goods sales and service provision</w:t>
            </w:r>
          </w:p>
        </w:tc>
        <w:tc>
          <w:tcPr>
            <w:tcW w:w="1032" w:type="pct"/>
            <w:tcBorders>
              <w:top w:val="single" w:sz="4" w:space="0" w:color="000000"/>
              <w:left w:val="single" w:sz="4" w:space="0" w:color="000000"/>
            </w:tcBorders>
            <w:shd w:val="clear" w:color="auto" w:fill="auto"/>
            <w:vAlign w:val="center"/>
          </w:tcPr>
          <w:p w14:paraId="1B98243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112,647,053,508</w:t>
            </w:r>
            <w:r w:rsidRPr="00024914">
              <w:rPr>
                <w:rFonts w:ascii="Arial" w:hAnsi="Arial" w:cs="Arial"/>
                <w:color w:val="010000"/>
                <w:sz w:val="20"/>
              </w:rPr>
              <w:t>)</w:t>
            </w:r>
          </w:p>
        </w:tc>
        <w:tc>
          <w:tcPr>
            <w:tcW w:w="974" w:type="pct"/>
            <w:tcBorders>
              <w:top w:val="single" w:sz="4" w:space="0" w:color="000000"/>
              <w:left w:val="single" w:sz="4" w:space="0" w:color="000000"/>
            </w:tcBorders>
            <w:shd w:val="clear" w:color="auto" w:fill="auto"/>
            <w:vAlign w:val="center"/>
          </w:tcPr>
          <w:p w14:paraId="36B2B0BE"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37,403,797,665</w:t>
            </w:r>
          </w:p>
        </w:tc>
        <w:tc>
          <w:tcPr>
            <w:tcW w:w="1032" w:type="pct"/>
            <w:tcBorders>
              <w:top w:val="single" w:sz="4" w:space="0" w:color="000000"/>
              <w:left w:val="single" w:sz="4" w:space="0" w:color="000000"/>
            </w:tcBorders>
            <w:shd w:val="clear" w:color="auto" w:fill="auto"/>
            <w:vAlign w:val="center"/>
          </w:tcPr>
          <w:p w14:paraId="0033438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150,050,851,173</w:t>
            </w:r>
            <w:r w:rsidRPr="00024914">
              <w:rPr>
                <w:rFonts w:ascii="Arial" w:hAnsi="Arial" w:cs="Arial"/>
                <w:color w:val="010000"/>
                <w:sz w:val="20"/>
              </w:rPr>
              <w:t>)</w:t>
            </w:r>
          </w:p>
        </w:tc>
        <w:tc>
          <w:tcPr>
            <w:tcW w:w="549" w:type="pct"/>
            <w:tcBorders>
              <w:top w:val="single" w:sz="4" w:space="0" w:color="000000"/>
              <w:left w:val="single" w:sz="4" w:space="0" w:color="000000"/>
              <w:right w:val="single" w:sz="4" w:space="0" w:color="000000"/>
            </w:tcBorders>
            <w:shd w:val="clear" w:color="auto" w:fill="auto"/>
            <w:vAlign w:val="center"/>
          </w:tcPr>
          <w:p w14:paraId="49B2C8C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401</w:t>
            </w:r>
            <w:r w:rsidRPr="00024914">
              <w:rPr>
                <w:rFonts w:ascii="Arial" w:hAnsi="Arial" w:cs="Arial"/>
                <w:color w:val="010000"/>
                <w:sz w:val="20"/>
              </w:rPr>
              <w:t>%</w:t>
            </w:r>
          </w:p>
        </w:tc>
      </w:tr>
      <w:tr w:rsidR="005C5694" w:rsidRPr="00024914" w14:paraId="026ABED2" w14:textId="77777777" w:rsidTr="00024914">
        <w:tc>
          <w:tcPr>
            <w:tcW w:w="1413" w:type="pct"/>
            <w:tcBorders>
              <w:top w:val="single" w:sz="4" w:space="0" w:color="000000"/>
              <w:left w:val="single" w:sz="4" w:space="0" w:color="000000"/>
            </w:tcBorders>
            <w:shd w:val="clear" w:color="auto" w:fill="auto"/>
            <w:vAlign w:val="center"/>
          </w:tcPr>
          <w:p w14:paraId="7940122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Revenue from financial activities</w:t>
            </w:r>
          </w:p>
        </w:tc>
        <w:tc>
          <w:tcPr>
            <w:tcW w:w="1032" w:type="pct"/>
            <w:tcBorders>
              <w:top w:val="single" w:sz="4" w:space="0" w:color="000000"/>
              <w:left w:val="single" w:sz="4" w:space="0" w:color="000000"/>
            </w:tcBorders>
            <w:shd w:val="clear" w:color="auto" w:fill="auto"/>
            <w:vAlign w:val="center"/>
          </w:tcPr>
          <w:p w14:paraId="2A0449B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7,940,178,190,700</w:t>
            </w:r>
          </w:p>
        </w:tc>
        <w:tc>
          <w:tcPr>
            <w:tcW w:w="974" w:type="pct"/>
            <w:tcBorders>
              <w:top w:val="single" w:sz="4" w:space="0" w:color="000000"/>
              <w:left w:val="single" w:sz="4" w:space="0" w:color="000000"/>
            </w:tcBorders>
            <w:shd w:val="clear" w:color="auto" w:fill="auto"/>
            <w:vAlign w:val="center"/>
          </w:tcPr>
          <w:p w14:paraId="018BCCB8"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5,918,037,483,862</w:t>
            </w:r>
          </w:p>
        </w:tc>
        <w:tc>
          <w:tcPr>
            <w:tcW w:w="1032" w:type="pct"/>
            <w:tcBorders>
              <w:top w:val="single" w:sz="4" w:space="0" w:color="000000"/>
              <w:left w:val="single" w:sz="4" w:space="0" w:color="000000"/>
            </w:tcBorders>
            <w:shd w:val="clear" w:color="auto" w:fill="auto"/>
            <w:vAlign w:val="center"/>
          </w:tcPr>
          <w:p w14:paraId="6B3951E8"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2,022,140,706,838</w:t>
            </w:r>
          </w:p>
        </w:tc>
        <w:tc>
          <w:tcPr>
            <w:tcW w:w="549" w:type="pct"/>
            <w:tcBorders>
              <w:top w:val="single" w:sz="4" w:space="0" w:color="000000"/>
              <w:left w:val="single" w:sz="4" w:space="0" w:color="000000"/>
              <w:right w:val="single" w:sz="4" w:space="0" w:color="000000"/>
            </w:tcBorders>
            <w:shd w:val="clear" w:color="auto" w:fill="auto"/>
            <w:vAlign w:val="center"/>
          </w:tcPr>
          <w:p w14:paraId="110831C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34</w:t>
            </w:r>
            <w:r w:rsidRPr="00024914">
              <w:rPr>
                <w:rFonts w:ascii="Arial" w:hAnsi="Arial" w:cs="Arial"/>
                <w:color w:val="010000"/>
                <w:sz w:val="20"/>
              </w:rPr>
              <w:t>%</w:t>
            </w:r>
          </w:p>
        </w:tc>
      </w:tr>
      <w:tr w:rsidR="005C5694" w:rsidRPr="00024914" w14:paraId="757E044B" w14:textId="77777777" w:rsidTr="00024914">
        <w:tc>
          <w:tcPr>
            <w:tcW w:w="1413" w:type="pct"/>
            <w:tcBorders>
              <w:top w:val="single" w:sz="4" w:space="0" w:color="000000"/>
              <w:left w:val="single" w:sz="4" w:space="0" w:color="000000"/>
            </w:tcBorders>
            <w:shd w:val="clear" w:color="auto" w:fill="auto"/>
            <w:vAlign w:val="center"/>
          </w:tcPr>
          <w:p w14:paraId="542726C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Financial expense</w:t>
            </w:r>
          </w:p>
        </w:tc>
        <w:tc>
          <w:tcPr>
            <w:tcW w:w="1032" w:type="pct"/>
            <w:tcBorders>
              <w:top w:val="single" w:sz="4" w:space="0" w:color="000000"/>
              <w:left w:val="single" w:sz="4" w:space="0" w:color="000000"/>
            </w:tcBorders>
            <w:shd w:val="clear" w:color="auto" w:fill="auto"/>
            <w:vAlign w:val="center"/>
          </w:tcPr>
          <w:p w14:paraId="7D0670E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52,022,398,478</w:t>
            </w:r>
          </w:p>
        </w:tc>
        <w:tc>
          <w:tcPr>
            <w:tcW w:w="974" w:type="pct"/>
            <w:tcBorders>
              <w:top w:val="single" w:sz="4" w:space="0" w:color="000000"/>
              <w:left w:val="single" w:sz="4" w:space="0" w:color="000000"/>
            </w:tcBorders>
            <w:shd w:val="clear" w:color="auto" w:fill="auto"/>
            <w:vAlign w:val="center"/>
          </w:tcPr>
          <w:p w14:paraId="7B259CD6"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7,331,509,300</w:t>
            </w:r>
          </w:p>
        </w:tc>
        <w:tc>
          <w:tcPr>
            <w:tcW w:w="1032" w:type="pct"/>
            <w:tcBorders>
              <w:top w:val="single" w:sz="4" w:space="0" w:color="000000"/>
              <w:left w:val="single" w:sz="4" w:space="0" w:color="000000"/>
            </w:tcBorders>
            <w:shd w:val="clear" w:color="auto" w:fill="auto"/>
            <w:vAlign w:val="center"/>
          </w:tcPr>
          <w:p w14:paraId="6CFEBEFE"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44,690,889,178</w:t>
            </w:r>
          </w:p>
        </w:tc>
        <w:tc>
          <w:tcPr>
            <w:tcW w:w="549" w:type="pct"/>
            <w:tcBorders>
              <w:top w:val="single" w:sz="4" w:space="0" w:color="000000"/>
              <w:left w:val="single" w:sz="4" w:space="0" w:color="000000"/>
              <w:right w:val="single" w:sz="4" w:space="0" w:color="000000"/>
            </w:tcBorders>
            <w:shd w:val="clear" w:color="auto" w:fill="auto"/>
            <w:vAlign w:val="center"/>
          </w:tcPr>
          <w:p w14:paraId="03F1FCD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610</w:t>
            </w:r>
            <w:r w:rsidRPr="00024914">
              <w:rPr>
                <w:rFonts w:ascii="Arial" w:hAnsi="Arial" w:cs="Arial"/>
                <w:color w:val="010000"/>
                <w:sz w:val="20"/>
              </w:rPr>
              <w:t>%</w:t>
            </w:r>
          </w:p>
        </w:tc>
      </w:tr>
      <w:tr w:rsidR="005C5694" w:rsidRPr="00024914" w14:paraId="602BB811" w14:textId="77777777" w:rsidTr="00024914">
        <w:tc>
          <w:tcPr>
            <w:tcW w:w="1413" w:type="pct"/>
            <w:tcBorders>
              <w:top w:val="single" w:sz="4" w:space="0" w:color="000000"/>
              <w:left w:val="single" w:sz="4" w:space="0" w:color="000000"/>
            </w:tcBorders>
            <w:shd w:val="clear" w:color="auto" w:fill="auto"/>
            <w:vAlign w:val="center"/>
          </w:tcPr>
          <w:p w14:paraId="7E77ADE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Selling expense</w:t>
            </w:r>
          </w:p>
        </w:tc>
        <w:tc>
          <w:tcPr>
            <w:tcW w:w="1032" w:type="pct"/>
            <w:tcBorders>
              <w:top w:val="single" w:sz="4" w:space="0" w:color="000000"/>
              <w:left w:val="single" w:sz="4" w:space="0" w:color="000000"/>
            </w:tcBorders>
            <w:shd w:val="clear" w:color="auto" w:fill="auto"/>
            <w:vAlign w:val="center"/>
          </w:tcPr>
          <w:p w14:paraId="50584087"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22,231,365,193</w:t>
            </w:r>
          </w:p>
        </w:tc>
        <w:tc>
          <w:tcPr>
            <w:tcW w:w="974" w:type="pct"/>
            <w:tcBorders>
              <w:top w:val="single" w:sz="4" w:space="0" w:color="000000"/>
              <w:left w:val="single" w:sz="4" w:space="0" w:color="000000"/>
            </w:tcBorders>
            <w:shd w:val="clear" w:color="auto" w:fill="auto"/>
            <w:vAlign w:val="center"/>
          </w:tcPr>
          <w:p w14:paraId="64B0566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27,242,351,489</w:t>
            </w:r>
          </w:p>
        </w:tc>
        <w:tc>
          <w:tcPr>
            <w:tcW w:w="1032" w:type="pct"/>
            <w:tcBorders>
              <w:top w:val="single" w:sz="4" w:space="0" w:color="000000"/>
              <w:left w:val="single" w:sz="4" w:space="0" w:color="000000"/>
            </w:tcBorders>
            <w:shd w:val="clear" w:color="auto" w:fill="auto"/>
            <w:vAlign w:val="center"/>
          </w:tcPr>
          <w:p w14:paraId="5BEEB12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5,010,986,296</w:t>
            </w:r>
            <w:r w:rsidRPr="00024914">
              <w:rPr>
                <w:rFonts w:ascii="Arial" w:hAnsi="Arial" w:cs="Arial"/>
                <w:color w:val="010000"/>
                <w:sz w:val="20"/>
              </w:rPr>
              <w:t>)</w:t>
            </w:r>
          </w:p>
        </w:tc>
        <w:tc>
          <w:tcPr>
            <w:tcW w:w="549" w:type="pct"/>
            <w:tcBorders>
              <w:top w:val="single" w:sz="4" w:space="0" w:color="000000"/>
              <w:left w:val="single" w:sz="4" w:space="0" w:color="000000"/>
              <w:right w:val="single" w:sz="4" w:space="0" w:color="000000"/>
            </w:tcBorders>
            <w:shd w:val="clear" w:color="auto" w:fill="auto"/>
            <w:vAlign w:val="center"/>
          </w:tcPr>
          <w:p w14:paraId="6F10522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18</w:t>
            </w:r>
            <w:r w:rsidRPr="00024914">
              <w:rPr>
                <w:rFonts w:ascii="Arial" w:hAnsi="Arial" w:cs="Arial"/>
                <w:color w:val="010000"/>
                <w:sz w:val="20"/>
              </w:rPr>
              <w:t>%</w:t>
            </w:r>
          </w:p>
        </w:tc>
      </w:tr>
      <w:tr w:rsidR="005C5694" w:rsidRPr="00024914" w14:paraId="78FFF088" w14:textId="77777777" w:rsidTr="00024914">
        <w:tc>
          <w:tcPr>
            <w:tcW w:w="1413" w:type="pct"/>
            <w:tcBorders>
              <w:top w:val="single" w:sz="4" w:space="0" w:color="000000"/>
              <w:left w:val="single" w:sz="4" w:space="0" w:color="000000"/>
            </w:tcBorders>
            <w:shd w:val="clear" w:color="auto" w:fill="auto"/>
            <w:vAlign w:val="center"/>
          </w:tcPr>
          <w:p w14:paraId="08415C97"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General and administrative expenses</w:t>
            </w:r>
          </w:p>
        </w:tc>
        <w:tc>
          <w:tcPr>
            <w:tcW w:w="1032" w:type="pct"/>
            <w:tcBorders>
              <w:top w:val="single" w:sz="4" w:space="0" w:color="000000"/>
              <w:left w:val="single" w:sz="4" w:space="0" w:color="000000"/>
            </w:tcBorders>
            <w:shd w:val="clear" w:color="auto" w:fill="auto"/>
            <w:vAlign w:val="center"/>
          </w:tcPr>
          <w:p w14:paraId="4E89BC5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776,592,830,937</w:t>
            </w:r>
          </w:p>
        </w:tc>
        <w:tc>
          <w:tcPr>
            <w:tcW w:w="974" w:type="pct"/>
            <w:tcBorders>
              <w:top w:val="single" w:sz="4" w:space="0" w:color="000000"/>
              <w:left w:val="single" w:sz="4" w:space="0" w:color="000000"/>
            </w:tcBorders>
            <w:shd w:val="clear" w:color="auto" w:fill="auto"/>
            <w:vAlign w:val="center"/>
          </w:tcPr>
          <w:p w14:paraId="150BF568"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165,250,801,414</w:t>
            </w:r>
          </w:p>
        </w:tc>
        <w:tc>
          <w:tcPr>
            <w:tcW w:w="1032" w:type="pct"/>
            <w:tcBorders>
              <w:top w:val="single" w:sz="4" w:space="0" w:color="000000"/>
              <w:left w:val="single" w:sz="4" w:space="0" w:color="000000"/>
            </w:tcBorders>
            <w:shd w:val="clear" w:color="auto" w:fill="auto"/>
            <w:vAlign w:val="center"/>
          </w:tcPr>
          <w:p w14:paraId="06D26469"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611,342,029,523</w:t>
            </w:r>
          </w:p>
        </w:tc>
        <w:tc>
          <w:tcPr>
            <w:tcW w:w="549" w:type="pct"/>
            <w:tcBorders>
              <w:top w:val="single" w:sz="4" w:space="0" w:color="000000"/>
              <w:left w:val="single" w:sz="4" w:space="0" w:color="000000"/>
              <w:right w:val="single" w:sz="4" w:space="0" w:color="000000"/>
            </w:tcBorders>
            <w:shd w:val="clear" w:color="auto" w:fill="auto"/>
            <w:vAlign w:val="center"/>
          </w:tcPr>
          <w:p w14:paraId="5062CA8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370</w:t>
            </w:r>
            <w:r w:rsidRPr="00024914">
              <w:rPr>
                <w:rFonts w:ascii="Arial" w:hAnsi="Arial" w:cs="Arial"/>
                <w:color w:val="010000"/>
                <w:sz w:val="20"/>
              </w:rPr>
              <w:t>%</w:t>
            </w:r>
          </w:p>
        </w:tc>
      </w:tr>
      <w:tr w:rsidR="005C5694" w:rsidRPr="00024914" w14:paraId="332B46BF" w14:textId="77777777" w:rsidTr="00024914">
        <w:tc>
          <w:tcPr>
            <w:tcW w:w="1413" w:type="pct"/>
            <w:tcBorders>
              <w:top w:val="single" w:sz="4" w:space="0" w:color="000000"/>
              <w:left w:val="single" w:sz="4" w:space="0" w:color="000000"/>
              <w:bottom w:val="single" w:sz="4" w:space="0" w:color="000000"/>
            </w:tcBorders>
            <w:shd w:val="clear" w:color="auto" w:fill="auto"/>
            <w:vAlign w:val="center"/>
          </w:tcPr>
          <w:p w14:paraId="0DBB95A8"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Profit after tax</w:t>
            </w:r>
          </w:p>
        </w:tc>
        <w:tc>
          <w:tcPr>
            <w:tcW w:w="1032" w:type="pct"/>
            <w:tcBorders>
              <w:top w:val="single" w:sz="4" w:space="0" w:color="000000"/>
              <w:left w:val="single" w:sz="4" w:space="0" w:color="000000"/>
              <w:bottom w:val="single" w:sz="4" w:space="0" w:color="000000"/>
            </w:tcBorders>
            <w:shd w:val="clear" w:color="auto" w:fill="auto"/>
            <w:vAlign w:val="center"/>
          </w:tcPr>
          <w:p w14:paraId="7069186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6,760,833,309,328</w:t>
            </w:r>
          </w:p>
        </w:tc>
        <w:tc>
          <w:tcPr>
            <w:tcW w:w="974" w:type="pct"/>
            <w:tcBorders>
              <w:top w:val="single" w:sz="4" w:space="0" w:color="000000"/>
              <w:left w:val="single" w:sz="4" w:space="0" w:color="000000"/>
              <w:bottom w:val="single" w:sz="4" w:space="0" w:color="000000"/>
            </w:tcBorders>
            <w:shd w:val="clear" w:color="auto" w:fill="auto"/>
            <w:vAlign w:val="center"/>
          </w:tcPr>
          <w:p w14:paraId="0ADB4254"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5,623,954,112,340</w:t>
            </w:r>
          </w:p>
        </w:tc>
        <w:tc>
          <w:tcPr>
            <w:tcW w:w="1032" w:type="pct"/>
            <w:tcBorders>
              <w:top w:val="single" w:sz="4" w:space="0" w:color="000000"/>
              <w:left w:val="single" w:sz="4" w:space="0" w:color="000000"/>
              <w:bottom w:val="single" w:sz="4" w:space="0" w:color="000000"/>
            </w:tcBorders>
            <w:shd w:val="clear" w:color="auto" w:fill="auto"/>
            <w:vAlign w:val="center"/>
          </w:tcPr>
          <w:p w14:paraId="188C487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1,136,879,196,988</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5B12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20</w:t>
            </w:r>
            <w:r w:rsidRPr="00024914">
              <w:rPr>
                <w:rFonts w:ascii="Arial" w:hAnsi="Arial" w:cs="Arial"/>
                <w:color w:val="010000"/>
                <w:sz w:val="20"/>
              </w:rPr>
              <w:t>%</w:t>
            </w:r>
          </w:p>
        </w:tc>
      </w:tr>
    </w:tbl>
    <w:p w14:paraId="1E45CBB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The Holding Company's profit after tax in </w:t>
      </w:r>
      <w:r w:rsidRPr="00024914">
        <w:rPr>
          <w:rFonts w:ascii="Arial" w:hAnsi="Arial" w:cs="Arial"/>
          <w:color w:val="010000"/>
          <w:sz w:val="20"/>
        </w:rPr>
        <w:t>2023</w:t>
      </w:r>
      <w:r w:rsidRPr="00024914">
        <w:rPr>
          <w:rFonts w:ascii="Arial" w:hAnsi="Arial" w:cs="Arial"/>
          <w:color w:val="010000"/>
          <w:sz w:val="20"/>
        </w:rPr>
        <w:t xml:space="preserve"> increased by </w:t>
      </w:r>
      <w:r w:rsidRPr="00024914">
        <w:rPr>
          <w:rFonts w:ascii="Arial" w:hAnsi="Arial" w:cs="Arial"/>
          <w:color w:val="010000"/>
          <w:sz w:val="20"/>
        </w:rPr>
        <w:t>20</w:t>
      </w:r>
      <w:r w:rsidRPr="00024914">
        <w:rPr>
          <w:rFonts w:ascii="Arial" w:hAnsi="Arial" w:cs="Arial"/>
          <w:color w:val="010000"/>
          <w:sz w:val="20"/>
        </w:rPr>
        <w:t xml:space="preserve">%, equivalent to VND </w:t>
      </w:r>
      <w:r w:rsidRPr="00024914">
        <w:rPr>
          <w:rFonts w:ascii="Arial" w:hAnsi="Arial" w:cs="Arial"/>
          <w:color w:val="010000"/>
          <w:sz w:val="20"/>
        </w:rPr>
        <w:t>1,136,879,196,988</w:t>
      </w:r>
      <w:r w:rsidRPr="00024914">
        <w:rPr>
          <w:rFonts w:ascii="Arial" w:hAnsi="Arial" w:cs="Arial"/>
          <w:color w:val="010000"/>
          <w:sz w:val="20"/>
        </w:rPr>
        <w:t xml:space="preserve"> compared to the same period last year, mainly due to</w:t>
      </w:r>
      <w:r w:rsidRPr="00024914">
        <w:rPr>
          <w:rFonts w:ascii="Arial" w:hAnsi="Arial" w:cs="Arial"/>
          <w:color w:val="010000"/>
          <w:sz w:val="20"/>
        </w:rPr>
        <w:t>:</w:t>
      </w:r>
    </w:p>
    <w:p w14:paraId="76A57D34" w14:textId="77777777" w:rsidR="005C5694" w:rsidRPr="00024914" w:rsidRDefault="00024914" w:rsidP="00024914">
      <w:pPr>
        <w:numPr>
          <w:ilvl w:val="0"/>
          <w:numId w:val="3"/>
        </w:numPr>
        <w:pBdr>
          <w:top w:val="nil"/>
          <w:left w:val="nil"/>
          <w:bottom w:val="nil"/>
          <w:right w:val="nil"/>
          <w:between w:val="nil"/>
        </w:pBdr>
        <w:tabs>
          <w:tab w:val="left" w:pos="432"/>
          <w:tab w:val="left" w:pos="2418"/>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Gross profit from goods sales and service provision decreased by </w:t>
      </w:r>
      <w:r w:rsidRPr="00024914">
        <w:rPr>
          <w:rFonts w:ascii="Arial" w:hAnsi="Arial" w:cs="Arial"/>
          <w:color w:val="010000"/>
          <w:sz w:val="20"/>
        </w:rPr>
        <w:t>401</w:t>
      </w:r>
      <w:r w:rsidRPr="00024914">
        <w:rPr>
          <w:rFonts w:ascii="Arial" w:hAnsi="Arial" w:cs="Arial"/>
          <w:color w:val="010000"/>
          <w:sz w:val="20"/>
        </w:rPr>
        <w:t xml:space="preserve">%, equivalent to VND </w:t>
      </w:r>
      <w:r w:rsidRPr="00024914">
        <w:rPr>
          <w:rFonts w:ascii="Arial" w:hAnsi="Arial" w:cs="Arial"/>
          <w:color w:val="010000"/>
          <w:sz w:val="20"/>
        </w:rPr>
        <w:t>150,050,851,</w:t>
      </w:r>
      <w:r w:rsidRPr="00024914">
        <w:rPr>
          <w:rFonts w:ascii="Arial" w:hAnsi="Arial" w:cs="Arial"/>
          <w:color w:val="010000"/>
          <w:sz w:val="20"/>
        </w:rPr>
        <w:t>173</w:t>
      </w:r>
      <w:r w:rsidRPr="00024914">
        <w:rPr>
          <w:rFonts w:ascii="Arial" w:hAnsi="Arial" w:cs="Arial"/>
          <w:color w:val="010000"/>
          <w:sz w:val="20"/>
        </w:rPr>
        <w:t xml:space="preserve"> compared to the same period last year (mainly due to increased costs of provisioning for devaluation of inventory)</w:t>
      </w:r>
    </w:p>
    <w:p w14:paraId="45C11D8A" w14:textId="77777777" w:rsidR="005C5694" w:rsidRPr="00024914" w:rsidRDefault="00024914" w:rsidP="00024914">
      <w:pPr>
        <w:numPr>
          <w:ilvl w:val="0"/>
          <w:numId w:val="3"/>
        </w:numPr>
        <w:pBdr>
          <w:top w:val="nil"/>
          <w:left w:val="nil"/>
          <w:bottom w:val="nil"/>
          <w:right w:val="nil"/>
          <w:between w:val="nil"/>
        </w:pBdr>
        <w:tabs>
          <w:tab w:val="left" w:pos="432"/>
          <w:tab w:val="left" w:pos="2418"/>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Financial activity revenue (dividends, profits distributed from units with VEAM's capital contribution, bank deposit interest) increased </w:t>
      </w:r>
      <w:r w:rsidRPr="00024914">
        <w:rPr>
          <w:rFonts w:ascii="Arial" w:hAnsi="Arial" w:cs="Arial"/>
          <w:color w:val="010000"/>
          <w:sz w:val="20"/>
        </w:rPr>
        <w:t xml:space="preserve">by </w:t>
      </w:r>
      <w:r w:rsidRPr="00024914">
        <w:rPr>
          <w:rFonts w:ascii="Arial" w:hAnsi="Arial" w:cs="Arial"/>
          <w:color w:val="010000"/>
          <w:sz w:val="20"/>
        </w:rPr>
        <w:t>34</w:t>
      </w:r>
      <w:r w:rsidRPr="00024914">
        <w:rPr>
          <w:rFonts w:ascii="Arial" w:hAnsi="Arial" w:cs="Arial"/>
          <w:color w:val="010000"/>
          <w:sz w:val="20"/>
        </w:rPr>
        <w:t xml:space="preserve">%, equivalent to VND </w:t>
      </w:r>
      <w:r w:rsidRPr="00024914">
        <w:rPr>
          <w:rFonts w:ascii="Arial" w:hAnsi="Arial" w:cs="Arial"/>
          <w:color w:val="010000"/>
          <w:sz w:val="20"/>
        </w:rPr>
        <w:t>2,022,140,706,838</w:t>
      </w:r>
      <w:r w:rsidRPr="00024914">
        <w:rPr>
          <w:rFonts w:ascii="Arial" w:hAnsi="Arial" w:cs="Arial"/>
          <w:color w:val="010000"/>
          <w:sz w:val="20"/>
        </w:rPr>
        <w:t>;</w:t>
      </w:r>
    </w:p>
    <w:p w14:paraId="1C971578" w14:textId="77777777" w:rsidR="005C5694" w:rsidRPr="00024914" w:rsidRDefault="00024914" w:rsidP="00024914">
      <w:pPr>
        <w:numPr>
          <w:ilvl w:val="0"/>
          <w:numId w:val="3"/>
        </w:numPr>
        <w:pBdr>
          <w:top w:val="nil"/>
          <w:left w:val="nil"/>
          <w:bottom w:val="nil"/>
          <w:right w:val="nil"/>
          <w:between w:val="nil"/>
        </w:pBdr>
        <w:tabs>
          <w:tab w:val="left" w:pos="432"/>
          <w:tab w:val="left" w:pos="2414"/>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Financial expenses increased by </w:t>
      </w:r>
      <w:r w:rsidRPr="00024914">
        <w:rPr>
          <w:rFonts w:ascii="Arial" w:hAnsi="Arial" w:cs="Arial"/>
          <w:color w:val="010000"/>
          <w:sz w:val="20"/>
        </w:rPr>
        <w:t>610</w:t>
      </w:r>
      <w:r w:rsidRPr="00024914">
        <w:rPr>
          <w:rFonts w:ascii="Arial" w:hAnsi="Arial" w:cs="Arial"/>
          <w:color w:val="010000"/>
          <w:sz w:val="20"/>
        </w:rPr>
        <w:t xml:space="preserve">%, equivalent to VND </w:t>
      </w:r>
      <w:r w:rsidRPr="00024914">
        <w:rPr>
          <w:rFonts w:ascii="Arial" w:hAnsi="Arial" w:cs="Arial"/>
          <w:color w:val="010000"/>
          <w:sz w:val="20"/>
        </w:rPr>
        <w:t>44,690,889,178</w:t>
      </w:r>
      <w:r w:rsidRPr="00024914">
        <w:rPr>
          <w:rFonts w:ascii="Arial" w:hAnsi="Arial" w:cs="Arial"/>
          <w:color w:val="010000"/>
          <w:sz w:val="20"/>
        </w:rPr>
        <w:t xml:space="preserve"> (mainly due to increased interest expenses);</w:t>
      </w:r>
    </w:p>
    <w:p w14:paraId="6B1F6A5E" w14:textId="77777777" w:rsidR="005C5694" w:rsidRPr="00024914" w:rsidRDefault="00024914" w:rsidP="00024914">
      <w:pPr>
        <w:numPr>
          <w:ilvl w:val="0"/>
          <w:numId w:val="3"/>
        </w:numPr>
        <w:pBdr>
          <w:top w:val="nil"/>
          <w:left w:val="nil"/>
          <w:bottom w:val="nil"/>
          <w:right w:val="nil"/>
          <w:between w:val="nil"/>
        </w:pBdr>
        <w:tabs>
          <w:tab w:val="left" w:pos="432"/>
          <w:tab w:val="left" w:pos="2400"/>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General and administrative expenses increased by </w:t>
      </w:r>
      <w:r w:rsidRPr="00024914">
        <w:rPr>
          <w:rFonts w:ascii="Arial" w:hAnsi="Arial" w:cs="Arial"/>
          <w:color w:val="010000"/>
          <w:sz w:val="20"/>
        </w:rPr>
        <w:t>370</w:t>
      </w:r>
      <w:r w:rsidRPr="00024914">
        <w:rPr>
          <w:rFonts w:ascii="Arial" w:hAnsi="Arial" w:cs="Arial"/>
          <w:color w:val="010000"/>
          <w:sz w:val="20"/>
        </w:rPr>
        <w:t xml:space="preserve">%, equivalent to VND </w:t>
      </w:r>
      <w:r w:rsidRPr="00024914">
        <w:rPr>
          <w:rFonts w:ascii="Arial" w:hAnsi="Arial" w:cs="Arial"/>
          <w:color w:val="010000"/>
          <w:sz w:val="20"/>
        </w:rPr>
        <w:t>611,342,029,523</w:t>
      </w:r>
      <w:r w:rsidRPr="00024914">
        <w:rPr>
          <w:rFonts w:ascii="Arial" w:hAnsi="Arial" w:cs="Arial"/>
          <w:color w:val="010000"/>
          <w:sz w:val="20"/>
        </w:rPr>
        <w:t xml:space="preserve"> (mainly due to increased provision for bad debts).</w:t>
      </w:r>
    </w:p>
    <w:p w14:paraId="2F4086D2" w14:textId="77777777" w:rsidR="005C5694" w:rsidRPr="00024914" w:rsidRDefault="00024914" w:rsidP="00024914">
      <w:pPr>
        <w:keepNext/>
        <w:numPr>
          <w:ilvl w:val="0"/>
          <w:numId w:val="1"/>
        </w:numPr>
        <w:pBdr>
          <w:top w:val="nil"/>
          <w:left w:val="nil"/>
          <w:bottom w:val="nil"/>
          <w:right w:val="nil"/>
          <w:between w:val="nil"/>
        </w:pBdr>
        <w:tabs>
          <w:tab w:val="left" w:pos="432"/>
          <w:tab w:val="left" w:pos="2549"/>
        </w:tabs>
        <w:spacing w:after="120" w:line="360" w:lineRule="auto"/>
        <w:rPr>
          <w:rFonts w:ascii="Arial" w:eastAsia="Arial" w:hAnsi="Arial" w:cs="Arial"/>
          <w:color w:val="010000"/>
          <w:sz w:val="20"/>
          <w:szCs w:val="20"/>
        </w:rPr>
      </w:pPr>
      <w:r w:rsidRPr="00024914">
        <w:rPr>
          <w:rFonts w:ascii="Arial" w:hAnsi="Arial" w:cs="Arial"/>
          <w:color w:val="010000"/>
          <w:sz w:val="20"/>
        </w:rPr>
        <w:t>Consolidated Financial Statements</w:t>
      </w:r>
    </w:p>
    <w:p w14:paraId="5980E4B4" w14:textId="77777777" w:rsidR="005C5694" w:rsidRPr="00024914" w:rsidRDefault="00024914" w:rsidP="00024914">
      <w:pPr>
        <w:keepNext/>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24914">
        <w:rPr>
          <w:rFonts w:ascii="Arial" w:hAnsi="Arial" w:cs="Arial"/>
          <w:color w:val="010000"/>
          <w:sz w:val="20"/>
        </w:rPr>
        <w:t xml:space="preserve">Table </w:t>
      </w:r>
      <w:r w:rsidRPr="00024914">
        <w:rPr>
          <w:rFonts w:ascii="Arial" w:hAnsi="Arial" w:cs="Arial"/>
          <w:color w:val="010000"/>
          <w:sz w:val="20"/>
        </w:rPr>
        <w:t>2:</w:t>
      </w:r>
      <w:r w:rsidRPr="00024914">
        <w:rPr>
          <w:rFonts w:ascii="Arial" w:hAnsi="Arial" w:cs="Arial"/>
          <w:color w:val="010000"/>
          <w:sz w:val="20"/>
        </w:rPr>
        <w:t xml:space="preserve"> Changes in consolidated business results in </w:t>
      </w:r>
      <w:r w:rsidRPr="00024914">
        <w:rPr>
          <w:rFonts w:ascii="Arial" w:hAnsi="Arial" w:cs="Arial"/>
          <w:color w:val="010000"/>
          <w:sz w:val="20"/>
        </w:rPr>
        <w:t>2023</w:t>
      </w:r>
    </w:p>
    <w:tbl>
      <w:tblPr>
        <w:tblStyle w:val="a0"/>
        <w:tblW w:w="5000" w:type="pct"/>
        <w:tblLook w:val="0400" w:firstRow="0" w:lastRow="0" w:firstColumn="0" w:lastColumn="0" w:noHBand="0" w:noVBand="1"/>
      </w:tblPr>
      <w:tblGrid>
        <w:gridCol w:w="2786"/>
        <w:gridCol w:w="1733"/>
        <w:gridCol w:w="1746"/>
        <w:gridCol w:w="1863"/>
        <w:gridCol w:w="889"/>
      </w:tblGrid>
      <w:tr w:rsidR="005C5694" w:rsidRPr="00024914" w14:paraId="103EC5BE" w14:textId="77777777" w:rsidTr="00024914">
        <w:tc>
          <w:tcPr>
            <w:tcW w:w="1545" w:type="pct"/>
            <w:vMerge w:val="restart"/>
            <w:tcBorders>
              <w:top w:val="single" w:sz="4" w:space="0" w:color="000000"/>
              <w:left w:val="single" w:sz="4" w:space="0" w:color="000000"/>
            </w:tcBorders>
            <w:shd w:val="clear" w:color="auto" w:fill="auto"/>
            <w:vAlign w:val="center"/>
          </w:tcPr>
          <w:p w14:paraId="40D2B2FE"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Targets</w:t>
            </w:r>
          </w:p>
        </w:tc>
        <w:tc>
          <w:tcPr>
            <w:tcW w:w="961" w:type="pct"/>
            <w:vMerge w:val="restart"/>
            <w:tcBorders>
              <w:top w:val="single" w:sz="4" w:space="0" w:color="000000"/>
              <w:left w:val="single" w:sz="4" w:space="0" w:color="000000"/>
            </w:tcBorders>
            <w:shd w:val="clear" w:color="auto" w:fill="auto"/>
            <w:vAlign w:val="center"/>
          </w:tcPr>
          <w:p w14:paraId="6E299FC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In </w:t>
            </w:r>
            <w:r w:rsidRPr="00024914">
              <w:rPr>
                <w:rFonts w:ascii="Arial" w:hAnsi="Arial" w:cs="Arial"/>
                <w:color w:val="010000"/>
                <w:sz w:val="20"/>
              </w:rPr>
              <w:t>2023</w:t>
            </w:r>
          </w:p>
          <w:p w14:paraId="4DE45A08"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(VND)</w:t>
            </w:r>
          </w:p>
        </w:tc>
        <w:tc>
          <w:tcPr>
            <w:tcW w:w="968" w:type="pct"/>
            <w:vMerge w:val="restart"/>
            <w:tcBorders>
              <w:top w:val="single" w:sz="4" w:space="0" w:color="000000"/>
              <w:left w:val="single" w:sz="4" w:space="0" w:color="000000"/>
            </w:tcBorders>
            <w:shd w:val="clear" w:color="auto" w:fill="auto"/>
            <w:vAlign w:val="center"/>
          </w:tcPr>
          <w:p w14:paraId="4C5EC7B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In </w:t>
            </w:r>
            <w:r w:rsidRPr="00024914">
              <w:rPr>
                <w:rFonts w:ascii="Arial" w:hAnsi="Arial" w:cs="Arial"/>
                <w:color w:val="010000"/>
                <w:sz w:val="20"/>
              </w:rPr>
              <w:t>2022</w:t>
            </w:r>
          </w:p>
          <w:p w14:paraId="6B21678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(VND)</w:t>
            </w:r>
          </w:p>
        </w:tc>
        <w:tc>
          <w:tcPr>
            <w:tcW w:w="1526" w:type="pct"/>
            <w:gridSpan w:val="2"/>
            <w:tcBorders>
              <w:top w:val="single" w:sz="4" w:space="0" w:color="000000"/>
              <w:left w:val="single" w:sz="4" w:space="0" w:color="000000"/>
              <w:right w:val="single" w:sz="4" w:space="0" w:color="000000"/>
            </w:tcBorders>
            <w:shd w:val="clear" w:color="auto" w:fill="auto"/>
            <w:vAlign w:val="center"/>
          </w:tcPr>
          <w:p w14:paraId="7B8DF6B7"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Difference</w:t>
            </w:r>
          </w:p>
        </w:tc>
      </w:tr>
      <w:tr w:rsidR="005C5694" w:rsidRPr="00024914" w14:paraId="149ABC0D" w14:textId="77777777" w:rsidTr="00024914">
        <w:tc>
          <w:tcPr>
            <w:tcW w:w="1545" w:type="pct"/>
            <w:vMerge/>
            <w:tcBorders>
              <w:top w:val="single" w:sz="4" w:space="0" w:color="000000"/>
              <w:left w:val="single" w:sz="4" w:space="0" w:color="000000"/>
            </w:tcBorders>
            <w:shd w:val="clear" w:color="auto" w:fill="auto"/>
            <w:vAlign w:val="center"/>
          </w:tcPr>
          <w:p w14:paraId="5334B5DB" w14:textId="77777777" w:rsidR="005C5694" w:rsidRPr="00024914" w:rsidRDefault="005C5694" w:rsidP="00024914">
            <w:pPr>
              <w:pBdr>
                <w:top w:val="nil"/>
                <w:left w:val="nil"/>
                <w:bottom w:val="nil"/>
                <w:right w:val="nil"/>
                <w:between w:val="nil"/>
              </w:pBdr>
              <w:spacing w:after="120" w:line="360" w:lineRule="auto"/>
              <w:rPr>
                <w:rFonts w:ascii="Arial" w:eastAsia="Arial" w:hAnsi="Arial" w:cs="Arial"/>
                <w:color w:val="010000"/>
                <w:sz w:val="20"/>
                <w:szCs w:val="20"/>
              </w:rPr>
            </w:pPr>
          </w:p>
        </w:tc>
        <w:tc>
          <w:tcPr>
            <w:tcW w:w="961" w:type="pct"/>
            <w:vMerge/>
            <w:tcBorders>
              <w:top w:val="single" w:sz="4" w:space="0" w:color="000000"/>
              <w:left w:val="single" w:sz="4" w:space="0" w:color="000000"/>
            </w:tcBorders>
            <w:shd w:val="clear" w:color="auto" w:fill="auto"/>
            <w:vAlign w:val="center"/>
          </w:tcPr>
          <w:p w14:paraId="2831765D" w14:textId="77777777" w:rsidR="005C5694" w:rsidRPr="00024914" w:rsidRDefault="005C5694" w:rsidP="00024914">
            <w:pPr>
              <w:pBdr>
                <w:top w:val="nil"/>
                <w:left w:val="nil"/>
                <w:bottom w:val="nil"/>
                <w:right w:val="nil"/>
                <w:between w:val="nil"/>
              </w:pBdr>
              <w:spacing w:after="120" w:line="360" w:lineRule="auto"/>
              <w:rPr>
                <w:rFonts w:ascii="Arial" w:eastAsia="Arial" w:hAnsi="Arial" w:cs="Arial"/>
                <w:color w:val="010000"/>
                <w:sz w:val="20"/>
                <w:szCs w:val="20"/>
              </w:rPr>
            </w:pPr>
          </w:p>
        </w:tc>
        <w:tc>
          <w:tcPr>
            <w:tcW w:w="968" w:type="pct"/>
            <w:vMerge/>
            <w:tcBorders>
              <w:top w:val="single" w:sz="4" w:space="0" w:color="000000"/>
              <w:left w:val="single" w:sz="4" w:space="0" w:color="000000"/>
            </w:tcBorders>
            <w:shd w:val="clear" w:color="auto" w:fill="auto"/>
            <w:vAlign w:val="center"/>
          </w:tcPr>
          <w:p w14:paraId="0C96A588" w14:textId="77777777" w:rsidR="005C5694" w:rsidRPr="00024914" w:rsidRDefault="005C5694" w:rsidP="00024914">
            <w:pPr>
              <w:pBdr>
                <w:top w:val="nil"/>
                <w:left w:val="nil"/>
                <w:bottom w:val="nil"/>
                <w:right w:val="nil"/>
                <w:between w:val="nil"/>
              </w:pBdr>
              <w:spacing w:after="120" w:line="360" w:lineRule="auto"/>
              <w:rPr>
                <w:rFonts w:ascii="Arial" w:eastAsia="Arial" w:hAnsi="Arial" w:cs="Arial"/>
                <w:color w:val="010000"/>
                <w:sz w:val="20"/>
                <w:szCs w:val="20"/>
              </w:rPr>
            </w:pPr>
          </w:p>
        </w:tc>
        <w:tc>
          <w:tcPr>
            <w:tcW w:w="1033" w:type="pct"/>
            <w:tcBorders>
              <w:top w:val="single" w:sz="4" w:space="0" w:color="000000"/>
              <w:left w:val="single" w:sz="4" w:space="0" w:color="000000"/>
            </w:tcBorders>
            <w:shd w:val="clear" w:color="auto" w:fill="auto"/>
            <w:vAlign w:val="center"/>
          </w:tcPr>
          <w:p w14:paraId="0A58FA6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Value (VND)</w:t>
            </w:r>
          </w:p>
        </w:tc>
        <w:tc>
          <w:tcPr>
            <w:tcW w:w="493" w:type="pct"/>
            <w:tcBorders>
              <w:top w:val="single" w:sz="4" w:space="0" w:color="000000"/>
              <w:left w:val="single" w:sz="4" w:space="0" w:color="000000"/>
              <w:right w:val="single" w:sz="4" w:space="0" w:color="000000"/>
            </w:tcBorders>
            <w:shd w:val="clear" w:color="auto" w:fill="auto"/>
            <w:vAlign w:val="center"/>
          </w:tcPr>
          <w:p w14:paraId="128BB49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Rate (%)</w:t>
            </w:r>
          </w:p>
        </w:tc>
      </w:tr>
      <w:tr w:rsidR="005C5694" w:rsidRPr="00024914" w14:paraId="670AD07D" w14:textId="77777777" w:rsidTr="00024914">
        <w:tc>
          <w:tcPr>
            <w:tcW w:w="1545" w:type="pct"/>
            <w:tcBorders>
              <w:top w:val="single" w:sz="4" w:space="0" w:color="000000"/>
              <w:left w:val="single" w:sz="4" w:space="0" w:color="000000"/>
            </w:tcBorders>
            <w:shd w:val="clear" w:color="auto" w:fill="auto"/>
            <w:vAlign w:val="center"/>
          </w:tcPr>
          <w:p w14:paraId="0F2CF9F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Net revenue from goods sales and service provision</w:t>
            </w:r>
          </w:p>
        </w:tc>
        <w:tc>
          <w:tcPr>
            <w:tcW w:w="961" w:type="pct"/>
            <w:tcBorders>
              <w:top w:val="single" w:sz="4" w:space="0" w:color="000000"/>
              <w:left w:val="single" w:sz="4" w:space="0" w:color="000000"/>
            </w:tcBorders>
            <w:shd w:val="clear" w:color="auto" w:fill="auto"/>
            <w:vAlign w:val="center"/>
          </w:tcPr>
          <w:p w14:paraId="4B7F52C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3,806,390,374,368</w:t>
            </w:r>
          </w:p>
        </w:tc>
        <w:tc>
          <w:tcPr>
            <w:tcW w:w="968" w:type="pct"/>
            <w:tcBorders>
              <w:top w:val="single" w:sz="4" w:space="0" w:color="000000"/>
              <w:left w:val="single" w:sz="4" w:space="0" w:color="000000"/>
            </w:tcBorders>
            <w:shd w:val="clear" w:color="auto" w:fill="auto"/>
            <w:vAlign w:val="center"/>
          </w:tcPr>
          <w:p w14:paraId="6E96628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4,747,467,433,565</w:t>
            </w:r>
          </w:p>
        </w:tc>
        <w:tc>
          <w:tcPr>
            <w:tcW w:w="1033" w:type="pct"/>
            <w:tcBorders>
              <w:top w:val="single" w:sz="4" w:space="0" w:color="000000"/>
              <w:left w:val="single" w:sz="4" w:space="0" w:color="000000"/>
            </w:tcBorders>
            <w:shd w:val="clear" w:color="auto" w:fill="auto"/>
            <w:vAlign w:val="center"/>
          </w:tcPr>
          <w:p w14:paraId="1A4F63B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941,077,059,197</w:t>
            </w:r>
            <w:r w:rsidRPr="00024914">
              <w:rPr>
                <w:rFonts w:ascii="Arial" w:hAnsi="Arial" w:cs="Arial"/>
                <w:color w:val="010000"/>
                <w:sz w:val="20"/>
              </w:rPr>
              <w:t>)</w:t>
            </w:r>
          </w:p>
        </w:tc>
        <w:tc>
          <w:tcPr>
            <w:tcW w:w="493" w:type="pct"/>
            <w:tcBorders>
              <w:top w:val="single" w:sz="4" w:space="0" w:color="000000"/>
              <w:left w:val="single" w:sz="4" w:space="0" w:color="000000"/>
              <w:right w:val="single" w:sz="4" w:space="0" w:color="000000"/>
            </w:tcBorders>
            <w:shd w:val="clear" w:color="auto" w:fill="auto"/>
            <w:vAlign w:val="center"/>
          </w:tcPr>
          <w:p w14:paraId="72B00DB5"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20</w:t>
            </w:r>
            <w:r w:rsidRPr="00024914">
              <w:rPr>
                <w:rFonts w:ascii="Arial" w:hAnsi="Arial" w:cs="Arial"/>
                <w:color w:val="010000"/>
                <w:sz w:val="20"/>
              </w:rPr>
              <w:t>%</w:t>
            </w:r>
          </w:p>
        </w:tc>
      </w:tr>
      <w:tr w:rsidR="005C5694" w:rsidRPr="00024914" w14:paraId="3C15FC88" w14:textId="77777777" w:rsidTr="00024914">
        <w:tc>
          <w:tcPr>
            <w:tcW w:w="1545" w:type="pct"/>
            <w:tcBorders>
              <w:top w:val="single" w:sz="4" w:space="0" w:color="000000"/>
              <w:left w:val="single" w:sz="4" w:space="0" w:color="000000"/>
            </w:tcBorders>
            <w:shd w:val="clear" w:color="auto" w:fill="auto"/>
            <w:vAlign w:val="center"/>
          </w:tcPr>
          <w:p w14:paraId="24ED2F7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lastRenderedPageBreak/>
              <w:t>Cost of goods sold</w:t>
            </w:r>
          </w:p>
        </w:tc>
        <w:tc>
          <w:tcPr>
            <w:tcW w:w="961" w:type="pct"/>
            <w:tcBorders>
              <w:top w:val="single" w:sz="4" w:space="0" w:color="000000"/>
              <w:left w:val="single" w:sz="4" w:space="0" w:color="000000"/>
            </w:tcBorders>
            <w:shd w:val="clear" w:color="auto" w:fill="auto"/>
            <w:vAlign w:val="center"/>
          </w:tcPr>
          <w:p w14:paraId="3A41C856"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3,358,471,217,679</w:t>
            </w:r>
          </w:p>
        </w:tc>
        <w:tc>
          <w:tcPr>
            <w:tcW w:w="968" w:type="pct"/>
            <w:tcBorders>
              <w:top w:val="single" w:sz="4" w:space="0" w:color="000000"/>
              <w:left w:val="single" w:sz="4" w:space="0" w:color="000000"/>
            </w:tcBorders>
            <w:shd w:val="clear" w:color="auto" w:fill="auto"/>
            <w:vAlign w:val="center"/>
          </w:tcPr>
          <w:p w14:paraId="08AF4D42"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4,096,262,565,072</w:t>
            </w:r>
          </w:p>
        </w:tc>
        <w:tc>
          <w:tcPr>
            <w:tcW w:w="1033" w:type="pct"/>
            <w:tcBorders>
              <w:top w:val="single" w:sz="4" w:space="0" w:color="000000"/>
              <w:left w:val="single" w:sz="4" w:space="0" w:color="000000"/>
            </w:tcBorders>
            <w:shd w:val="clear" w:color="auto" w:fill="auto"/>
            <w:vAlign w:val="center"/>
          </w:tcPr>
          <w:p w14:paraId="4833916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737,791,347,393</w:t>
            </w:r>
            <w:r w:rsidRPr="00024914">
              <w:rPr>
                <w:rFonts w:ascii="Arial" w:hAnsi="Arial" w:cs="Arial"/>
                <w:color w:val="010000"/>
                <w:sz w:val="20"/>
              </w:rPr>
              <w:t>)</w:t>
            </w:r>
          </w:p>
        </w:tc>
        <w:tc>
          <w:tcPr>
            <w:tcW w:w="493" w:type="pct"/>
            <w:tcBorders>
              <w:top w:val="single" w:sz="4" w:space="0" w:color="000000"/>
              <w:left w:val="single" w:sz="4" w:space="0" w:color="000000"/>
              <w:right w:val="single" w:sz="4" w:space="0" w:color="000000"/>
            </w:tcBorders>
            <w:shd w:val="clear" w:color="auto" w:fill="auto"/>
            <w:vAlign w:val="center"/>
          </w:tcPr>
          <w:p w14:paraId="7D5EE22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18</w:t>
            </w:r>
            <w:r w:rsidRPr="00024914">
              <w:rPr>
                <w:rFonts w:ascii="Arial" w:hAnsi="Arial" w:cs="Arial"/>
                <w:color w:val="010000"/>
                <w:sz w:val="20"/>
              </w:rPr>
              <w:t>%</w:t>
            </w:r>
          </w:p>
        </w:tc>
      </w:tr>
      <w:tr w:rsidR="005C5694" w:rsidRPr="00024914" w14:paraId="6A32AE8F" w14:textId="77777777" w:rsidTr="00024914">
        <w:tc>
          <w:tcPr>
            <w:tcW w:w="1545" w:type="pct"/>
            <w:tcBorders>
              <w:top w:val="single" w:sz="4" w:space="0" w:color="000000"/>
              <w:left w:val="single" w:sz="4" w:space="0" w:color="000000"/>
            </w:tcBorders>
            <w:shd w:val="clear" w:color="auto" w:fill="auto"/>
            <w:vAlign w:val="center"/>
          </w:tcPr>
          <w:p w14:paraId="3285C0A7"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Gross profit from goods sales and service provision</w:t>
            </w:r>
          </w:p>
        </w:tc>
        <w:tc>
          <w:tcPr>
            <w:tcW w:w="961" w:type="pct"/>
            <w:tcBorders>
              <w:top w:val="single" w:sz="4" w:space="0" w:color="000000"/>
              <w:left w:val="single" w:sz="4" w:space="0" w:color="000000"/>
            </w:tcBorders>
            <w:shd w:val="clear" w:color="auto" w:fill="auto"/>
            <w:vAlign w:val="center"/>
          </w:tcPr>
          <w:p w14:paraId="503C98F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447,919,156,689</w:t>
            </w:r>
          </w:p>
        </w:tc>
        <w:tc>
          <w:tcPr>
            <w:tcW w:w="968" w:type="pct"/>
            <w:tcBorders>
              <w:top w:val="single" w:sz="4" w:space="0" w:color="000000"/>
              <w:left w:val="single" w:sz="4" w:space="0" w:color="000000"/>
            </w:tcBorders>
            <w:shd w:val="clear" w:color="auto" w:fill="auto"/>
            <w:vAlign w:val="center"/>
          </w:tcPr>
          <w:p w14:paraId="3FC419F6"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651,204,868,493</w:t>
            </w:r>
          </w:p>
        </w:tc>
        <w:tc>
          <w:tcPr>
            <w:tcW w:w="1033" w:type="pct"/>
            <w:tcBorders>
              <w:top w:val="single" w:sz="4" w:space="0" w:color="000000"/>
              <w:left w:val="single" w:sz="4" w:space="0" w:color="000000"/>
            </w:tcBorders>
            <w:shd w:val="clear" w:color="auto" w:fill="auto"/>
            <w:vAlign w:val="center"/>
          </w:tcPr>
          <w:p w14:paraId="6124C5F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203,285,711,804</w:t>
            </w:r>
            <w:r w:rsidRPr="00024914">
              <w:rPr>
                <w:rFonts w:ascii="Arial" w:hAnsi="Arial" w:cs="Arial"/>
                <w:color w:val="010000"/>
                <w:sz w:val="20"/>
              </w:rPr>
              <w:t>)</w:t>
            </w:r>
          </w:p>
        </w:tc>
        <w:tc>
          <w:tcPr>
            <w:tcW w:w="493" w:type="pct"/>
            <w:tcBorders>
              <w:top w:val="single" w:sz="4" w:space="0" w:color="000000"/>
              <w:left w:val="single" w:sz="4" w:space="0" w:color="000000"/>
              <w:right w:val="single" w:sz="4" w:space="0" w:color="000000"/>
            </w:tcBorders>
            <w:shd w:val="clear" w:color="auto" w:fill="auto"/>
            <w:vAlign w:val="center"/>
          </w:tcPr>
          <w:p w14:paraId="5ACC49A9"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31</w:t>
            </w:r>
            <w:r w:rsidRPr="00024914">
              <w:rPr>
                <w:rFonts w:ascii="Arial" w:hAnsi="Arial" w:cs="Arial"/>
                <w:color w:val="010000"/>
                <w:sz w:val="20"/>
              </w:rPr>
              <w:t>%</w:t>
            </w:r>
          </w:p>
        </w:tc>
      </w:tr>
      <w:tr w:rsidR="005C5694" w:rsidRPr="00024914" w14:paraId="15CA689D" w14:textId="77777777" w:rsidTr="00024914">
        <w:tc>
          <w:tcPr>
            <w:tcW w:w="1545" w:type="pct"/>
            <w:tcBorders>
              <w:top w:val="single" w:sz="4" w:space="0" w:color="000000"/>
              <w:left w:val="single" w:sz="4" w:space="0" w:color="000000"/>
            </w:tcBorders>
            <w:shd w:val="clear" w:color="auto" w:fill="auto"/>
            <w:vAlign w:val="center"/>
          </w:tcPr>
          <w:p w14:paraId="355F9FC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Revenue from financial activities</w:t>
            </w:r>
          </w:p>
        </w:tc>
        <w:tc>
          <w:tcPr>
            <w:tcW w:w="961" w:type="pct"/>
            <w:tcBorders>
              <w:top w:val="single" w:sz="4" w:space="0" w:color="000000"/>
              <w:left w:val="single" w:sz="4" w:space="0" w:color="000000"/>
            </w:tcBorders>
            <w:shd w:val="clear" w:color="auto" w:fill="auto"/>
            <w:vAlign w:val="center"/>
          </w:tcPr>
          <w:p w14:paraId="30828558"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1,205,146,434,496</w:t>
            </w:r>
          </w:p>
        </w:tc>
        <w:tc>
          <w:tcPr>
            <w:tcW w:w="968" w:type="pct"/>
            <w:tcBorders>
              <w:top w:val="single" w:sz="4" w:space="0" w:color="000000"/>
              <w:left w:val="single" w:sz="4" w:space="0" w:color="000000"/>
            </w:tcBorders>
            <w:shd w:val="clear" w:color="auto" w:fill="auto"/>
            <w:vAlign w:val="center"/>
          </w:tcPr>
          <w:p w14:paraId="1A423CD7"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818,416,324,015</w:t>
            </w:r>
          </w:p>
        </w:tc>
        <w:tc>
          <w:tcPr>
            <w:tcW w:w="1033" w:type="pct"/>
            <w:tcBorders>
              <w:top w:val="single" w:sz="4" w:space="0" w:color="000000"/>
              <w:left w:val="single" w:sz="4" w:space="0" w:color="000000"/>
            </w:tcBorders>
            <w:shd w:val="clear" w:color="auto" w:fill="auto"/>
            <w:vAlign w:val="center"/>
          </w:tcPr>
          <w:p w14:paraId="7A24BC99"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386,730,110,481</w:t>
            </w:r>
          </w:p>
        </w:tc>
        <w:tc>
          <w:tcPr>
            <w:tcW w:w="493" w:type="pct"/>
            <w:tcBorders>
              <w:top w:val="single" w:sz="4" w:space="0" w:color="000000"/>
              <w:left w:val="single" w:sz="4" w:space="0" w:color="000000"/>
              <w:right w:val="single" w:sz="4" w:space="0" w:color="000000"/>
            </w:tcBorders>
            <w:shd w:val="clear" w:color="auto" w:fill="auto"/>
            <w:vAlign w:val="center"/>
          </w:tcPr>
          <w:p w14:paraId="6E643822"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47</w:t>
            </w:r>
            <w:r w:rsidRPr="00024914">
              <w:rPr>
                <w:rFonts w:ascii="Arial" w:hAnsi="Arial" w:cs="Arial"/>
                <w:color w:val="010000"/>
                <w:sz w:val="20"/>
              </w:rPr>
              <w:t>%</w:t>
            </w:r>
          </w:p>
        </w:tc>
      </w:tr>
      <w:tr w:rsidR="005C5694" w:rsidRPr="00024914" w14:paraId="29E6828A" w14:textId="77777777" w:rsidTr="00024914">
        <w:tc>
          <w:tcPr>
            <w:tcW w:w="1545" w:type="pct"/>
            <w:tcBorders>
              <w:top w:val="single" w:sz="4" w:space="0" w:color="000000"/>
              <w:left w:val="single" w:sz="4" w:space="0" w:color="000000"/>
            </w:tcBorders>
            <w:shd w:val="clear" w:color="auto" w:fill="auto"/>
            <w:vAlign w:val="center"/>
          </w:tcPr>
          <w:p w14:paraId="111C170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Profits or losses in joint ventures</w:t>
            </w:r>
          </w:p>
        </w:tc>
        <w:tc>
          <w:tcPr>
            <w:tcW w:w="961" w:type="pct"/>
            <w:tcBorders>
              <w:top w:val="single" w:sz="4" w:space="0" w:color="000000"/>
              <w:left w:val="single" w:sz="4" w:space="0" w:color="000000"/>
            </w:tcBorders>
            <w:shd w:val="clear" w:color="auto" w:fill="auto"/>
            <w:vAlign w:val="center"/>
          </w:tcPr>
          <w:p w14:paraId="7DACC9D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5,640,068,827,924</w:t>
            </w:r>
          </w:p>
        </w:tc>
        <w:tc>
          <w:tcPr>
            <w:tcW w:w="968" w:type="pct"/>
            <w:tcBorders>
              <w:top w:val="single" w:sz="4" w:space="0" w:color="000000"/>
              <w:left w:val="single" w:sz="4" w:space="0" w:color="000000"/>
            </w:tcBorders>
            <w:shd w:val="clear" w:color="auto" w:fill="auto"/>
            <w:vAlign w:val="center"/>
          </w:tcPr>
          <w:p w14:paraId="68C792C5"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6,984,974,842,304</w:t>
            </w:r>
          </w:p>
        </w:tc>
        <w:tc>
          <w:tcPr>
            <w:tcW w:w="1033" w:type="pct"/>
            <w:tcBorders>
              <w:top w:val="single" w:sz="4" w:space="0" w:color="000000"/>
              <w:left w:val="single" w:sz="4" w:space="0" w:color="000000"/>
            </w:tcBorders>
            <w:shd w:val="clear" w:color="auto" w:fill="auto"/>
            <w:vAlign w:val="center"/>
          </w:tcPr>
          <w:p w14:paraId="4B5677C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1,344,906,014,380</w:t>
            </w:r>
            <w:r w:rsidRPr="00024914">
              <w:rPr>
                <w:rFonts w:ascii="Arial" w:hAnsi="Arial" w:cs="Arial"/>
                <w:color w:val="010000"/>
                <w:sz w:val="20"/>
              </w:rPr>
              <w:t>)</w:t>
            </w:r>
          </w:p>
        </w:tc>
        <w:tc>
          <w:tcPr>
            <w:tcW w:w="493" w:type="pct"/>
            <w:tcBorders>
              <w:top w:val="single" w:sz="4" w:space="0" w:color="000000"/>
              <w:left w:val="single" w:sz="4" w:space="0" w:color="000000"/>
              <w:right w:val="single" w:sz="4" w:space="0" w:color="000000"/>
            </w:tcBorders>
            <w:shd w:val="clear" w:color="auto" w:fill="auto"/>
            <w:vAlign w:val="center"/>
          </w:tcPr>
          <w:p w14:paraId="4F3E739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19</w:t>
            </w:r>
            <w:r w:rsidRPr="00024914">
              <w:rPr>
                <w:rFonts w:ascii="Arial" w:hAnsi="Arial" w:cs="Arial"/>
                <w:color w:val="010000"/>
                <w:sz w:val="20"/>
              </w:rPr>
              <w:t>%</w:t>
            </w:r>
          </w:p>
        </w:tc>
      </w:tr>
      <w:tr w:rsidR="005C5694" w:rsidRPr="00024914" w14:paraId="17B6DBAB" w14:textId="77777777" w:rsidTr="00024914">
        <w:tc>
          <w:tcPr>
            <w:tcW w:w="1545" w:type="pct"/>
            <w:tcBorders>
              <w:top w:val="single" w:sz="4" w:space="0" w:color="000000"/>
              <w:left w:val="single" w:sz="4" w:space="0" w:color="000000"/>
            </w:tcBorders>
            <w:shd w:val="clear" w:color="auto" w:fill="auto"/>
            <w:vAlign w:val="center"/>
          </w:tcPr>
          <w:p w14:paraId="0B2AB19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Selling expense</w:t>
            </w:r>
          </w:p>
        </w:tc>
        <w:tc>
          <w:tcPr>
            <w:tcW w:w="961" w:type="pct"/>
            <w:tcBorders>
              <w:top w:val="single" w:sz="4" w:space="0" w:color="000000"/>
              <w:left w:val="single" w:sz="4" w:space="0" w:color="000000"/>
            </w:tcBorders>
            <w:shd w:val="clear" w:color="auto" w:fill="auto"/>
            <w:vAlign w:val="center"/>
          </w:tcPr>
          <w:p w14:paraId="7FEABB73"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86,359,122,851</w:t>
            </w:r>
          </w:p>
        </w:tc>
        <w:tc>
          <w:tcPr>
            <w:tcW w:w="968" w:type="pct"/>
            <w:tcBorders>
              <w:top w:val="single" w:sz="4" w:space="0" w:color="000000"/>
              <w:left w:val="single" w:sz="4" w:space="0" w:color="000000"/>
            </w:tcBorders>
            <w:shd w:val="clear" w:color="auto" w:fill="auto"/>
            <w:vAlign w:val="center"/>
          </w:tcPr>
          <w:p w14:paraId="6B261852"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105,210,189,883</w:t>
            </w:r>
          </w:p>
        </w:tc>
        <w:tc>
          <w:tcPr>
            <w:tcW w:w="1033" w:type="pct"/>
            <w:tcBorders>
              <w:top w:val="single" w:sz="4" w:space="0" w:color="000000"/>
              <w:left w:val="single" w:sz="4" w:space="0" w:color="000000"/>
            </w:tcBorders>
            <w:shd w:val="clear" w:color="auto" w:fill="auto"/>
            <w:vAlign w:val="center"/>
          </w:tcPr>
          <w:p w14:paraId="2F7FF135"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18,851,067,032</w:t>
            </w:r>
            <w:r w:rsidRPr="00024914">
              <w:rPr>
                <w:rFonts w:ascii="Arial" w:hAnsi="Arial" w:cs="Arial"/>
                <w:color w:val="010000"/>
                <w:sz w:val="20"/>
              </w:rPr>
              <w:t>)</w:t>
            </w:r>
          </w:p>
        </w:tc>
        <w:tc>
          <w:tcPr>
            <w:tcW w:w="493" w:type="pct"/>
            <w:tcBorders>
              <w:top w:val="single" w:sz="4" w:space="0" w:color="000000"/>
              <w:left w:val="single" w:sz="4" w:space="0" w:color="000000"/>
              <w:right w:val="single" w:sz="4" w:space="0" w:color="000000"/>
            </w:tcBorders>
            <w:shd w:val="clear" w:color="auto" w:fill="auto"/>
            <w:vAlign w:val="center"/>
          </w:tcPr>
          <w:p w14:paraId="5A555BF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18</w:t>
            </w:r>
            <w:r w:rsidRPr="00024914">
              <w:rPr>
                <w:rFonts w:ascii="Arial" w:hAnsi="Arial" w:cs="Arial"/>
                <w:color w:val="010000"/>
                <w:sz w:val="20"/>
              </w:rPr>
              <w:t>%</w:t>
            </w:r>
          </w:p>
        </w:tc>
      </w:tr>
      <w:tr w:rsidR="005C5694" w:rsidRPr="00024914" w14:paraId="3C4EEF60" w14:textId="77777777" w:rsidTr="00024914">
        <w:tc>
          <w:tcPr>
            <w:tcW w:w="1545" w:type="pct"/>
            <w:tcBorders>
              <w:top w:val="single" w:sz="4" w:space="0" w:color="000000"/>
              <w:left w:val="single" w:sz="4" w:space="0" w:color="000000"/>
            </w:tcBorders>
            <w:shd w:val="clear" w:color="auto" w:fill="auto"/>
            <w:vAlign w:val="center"/>
          </w:tcPr>
          <w:p w14:paraId="5D15F208"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General and administrative expenses</w:t>
            </w:r>
          </w:p>
        </w:tc>
        <w:tc>
          <w:tcPr>
            <w:tcW w:w="961" w:type="pct"/>
            <w:tcBorders>
              <w:top w:val="single" w:sz="4" w:space="0" w:color="000000"/>
              <w:left w:val="single" w:sz="4" w:space="0" w:color="000000"/>
            </w:tcBorders>
            <w:shd w:val="clear" w:color="auto" w:fill="auto"/>
            <w:vAlign w:val="center"/>
          </w:tcPr>
          <w:p w14:paraId="2DF2FE9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610,664,483,208</w:t>
            </w:r>
          </w:p>
        </w:tc>
        <w:tc>
          <w:tcPr>
            <w:tcW w:w="968" w:type="pct"/>
            <w:tcBorders>
              <w:top w:val="single" w:sz="4" w:space="0" w:color="000000"/>
              <w:left w:val="single" w:sz="4" w:space="0" w:color="000000"/>
            </w:tcBorders>
            <w:shd w:val="clear" w:color="auto" w:fill="auto"/>
            <w:vAlign w:val="center"/>
          </w:tcPr>
          <w:p w14:paraId="5E1EA17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561,525,478,760</w:t>
            </w:r>
          </w:p>
        </w:tc>
        <w:tc>
          <w:tcPr>
            <w:tcW w:w="1033" w:type="pct"/>
            <w:tcBorders>
              <w:top w:val="single" w:sz="4" w:space="0" w:color="000000"/>
              <w:left w:val="single" w:sz="4" w:space="0" w:color="000000"/>
            </w:tcBorders>
            <w:shd w:val="clear" w:color="auto" w:fill="auto"/>
            <w:vAlign w:val="center"/>
          </w:tcPr>
          <w:p w14:paraId="5825BA5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49,139,004,448</w:t>
            </w:r>
          </w:p>
        </w:tc>
        <w:tc>
          <w:tcPr>
            <w:tcW w:w="493" w:type="pct"/>
            <w:tcBorders>
              <w:top w:val="single" w:sz="4" w:space="0" w:color="000000"/>
              <w:left w:val="single" w:sz="4" w:space="0" w:color="000000"/>
              <w:right w:val="single" w:sz="4" w:space="0" w:color="000000"/>
            </w:tcBorders>
            <w:shd w:val="clear" w:color="auto" w:fill="auto"/>
            <w:vAlign w:val="center"/>
          </w:tcPr>
          <w:p w14:paraId="3A6B2A9F"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9</w:t>
            </w:r>
            <w:r w:rsidRPr="00024914">
              <w:rPr>
                <w:rFonts w:ascii="Arial" w:hAnsi="Arial" w:cs="Arial"/>
                <w:color w:val="010000"/>
                <w:sz w:val="20"/>
              </w:rPr>
              <w:t>%</w:t>
            </w:r>
          </w:p>
        </w:tc>
      </w:tr>
      <w:tr w:rsidR="005C5694" w:rsidRPr="00024914" w14:paraId="623FB7B6" w14:textId="77777777" w:rsidTr="00024914">
        <w:tc>
          <w:tcPr>
            <w:tcW w:w="1545" w:type="pct"/>
            <w:tcBorders>
              <w:top w:val="single" w:sz="4" w:space="0" w:color="000000"/>
              <w:left w:val="single" w:sz="4" w:space="0" w:color="000000"/>
            </w:tcBorders>
            <w:shd w:val="clear" w:color="auto" w:fill="auto"/>
            <w:vAlign w:val="center"/>
          </w:tcPr>
          <w:p w14:paraId="3B42190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Other incomes</w:t>
            </w:r>
          </w:p>
        </w:tc>
        <w:tc>
          <w:tcPr>
            <w:tcW w:w="961" w:type="pct"/>
            <w:tcBorders>
              <w:top w:val="single" w:sz="4" w:space="0" w:color="000000"/>
              <w:left w:val="single" w:sz="4" w:space="0" w:color="000000"/>
            </w:tcBorders>
            <w:shd w:val="clear" w:color="auto" w:fill="auto"/>
            <w:vAlign w:val="center"/>
          </w:tcPr>
          <w:p w14:paraId="71C6211D"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9,583,134,644</w:t>
            </w:r>
          </w:p>
        </w:tc>
        <w:tc>
          <w:tcPr>
            <w:tcW w:w="968" w:type="pct"/>
            <w:tcBorders>
              <w:top w:val="single" w:sz="4" w:space="0" w:color="000000"/>
              <w:left w:val="single" w:sz="4" w:space="0" w:color="000000"/>
            </w:tcBorders>
            <w:shd w:val="clear" w:color="auto" w:fill="auto"/>
            <w:vAlign w:val="center"/>
          </w:tcPr>
          <w:p w14:paraId="58F14900"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99,565,054,949</w:t>
            </w:r>
          </w:p>
        </w:tc>
        <w:tc>
          <w:tcPr>
            <w:tcW w:w="1033" w:type="pct"/>
            <w:tcBorders>
              <w:top w:val="single" w:sz="4" w:space="0" w:color="000000"/>
              <w:left w:val="single" w:sz="4" w:space="0" w:color="000000"/>
            </w:tcBorders>
            <w:shd w:val="clear" w:color="auto" w:fill="auto"/>
            <w:vAlign w:val="center"/>
          </w:tcPr>
          <w:p w14:paraId="3B8A5B65"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89,981,920,305</w:t>
            </w:r>
            <w:r w:rsidRPr="00024914">
              <w:rPr>
                <w:rFonts w:ascii="Arial" w:hAnsi="Arial" w:cs="Arial"/>
                <w:color w:val="010000"/>
                <w:sz w:val="20"/>
              </w:rPr>
              <w:t>)</w:t>
            </w:r>
          </w:p>
        </w:tc>
        <w:tc>
          <w:tcPr>
            <w:tcW w:w="493" w:type="pct"/>
            <w:tcBorders>
              <w:top w:val="single" w:sz="4" w:space="0" w:color="000000"/>
              <w:left w:val="single" w:sz="4" w:space="0" w:color="000000"/>
              <w:right w:val="single" w:sz="4" w:space="0" w:color="000000"/>
            </w:tcBorders>
            <w:shd w:val="clear" w:color="auto" w:fill="auto"/>
            <w:vAlign w:val="center"/>
          </w:tcPr>
          <w:p w14:paraId="45E0F5B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90</w:t>
            </w:r>
            <w:r w:rsidRPr="00024914">
              <w:rPr>
                <w:rFonts w:ascii="Arial" w:hAnsi="Arial" w:cs="Arial"/>
                <w:color w:val="010000"/>
                <w:sz w:val="20"/>
              </w:rPr>
              <w:t>%</w:t>
            </w:r>
          </w:p>
        </w:tc>
      </w:tr>
      <w:tr w:rsidR="005C5694" w:rsidRPr="00024914" w14:paraId="412386F0" w14:textId="77777777" w:rsidTr="00024914">
        <w:tc>
          <w:tcPr>
            <w:tcW w:w="1545" w:type="pct"/>
            <w:tcBorders>
              <w:top w:val="single" w:sz="4" w:space="0" w:color="000000"/>
              <w:left w:val="single" w:sz="4" w:space="0" w:color="000000"/>
            </w:tcBorders>
            <w:shd w:val="clear" w:color="auto" w:fill="auto"/>
            <w:vAlign w:val="center"/>
          </w:tcPr>
          <w:p w14:paraId="4177A479"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Current corporate income tax expense</w:t>
            </w:r>
          </w:p>
        </w:tc>
        <w:tc>
          <w:tcPr>
            <w:tcW w:w="961" w:type="pct"/>
            <w:tcBorders>
              <w:top w:val="single" w:sz="4" w:space="0" w:color="000000"/>
              <w:left w:val="single" w:sz="4" w:space="0" w:color="000000"/>
            </w:tcBorders>
            <w:shd w:val="clear" w:color="auto" w:fill="auto"/>
            <w:vAlign w:val="center"/>
          </w:tcPr>
          <w:p w14:paraId="25ED8A41"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252,009,883,780</w:t>
            </w:r>
          </w:p>
        </w:tc>
        <w:tc>
          <w:tcPr>
            <w:tcW w:w="968" w:type="pct"/>
            <w:tcBorders>
              <w:top w:val="single" w:sz="4" w:space="0" w:color="000000"/>
              <w:left w:val="single" w:sz="4" w:space="0" w:color="000000"/>
            </w:tcBorders>
            <w:shd w:val="clear" w:color="auto" w:fill="auto"/>
            <w:vAlign w:val="center"/>
          </w:tcPr>
          <w:p w14:paraId="24DDA05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179,800,721,057</w:t>
            </w:r>
          </w:p>
        </w:tc>
        <w:tc>
          <w:tcPr>
            <w:tcW w:w="1033" w:type="pct"/>
            <w:tcBorders>
              <w:top w:val="single" w:sz="4" w:space="0" w:color="000000"/>
              <w:left w:val="single" w:sz="4" w:space="0" w:color="000000"/>
            </w:tcBorders>
            <w:shd w:val="clear" w:color="auto" w:fill="auto"/>
            <w:vAlign w:val="center"/>
          </w:tcPr>
          <w:p w14:paraId="655D7422"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72,209,162,723</w:t>
            </w:r>
          </w:p>
        </w:tc>
        <w:tc>
          <w:tcPr>
            <w:tcW w:w="493" w:type="pct"/>
            <w:tcBorders>
              <w:top w:val="single" w:sz="4" w:space="0" w:color="000000"/>
              <w:left w:val="single" w:sz="4" w:space="0" w:color="000000"/>
              <w:right w:val="single" w:sz="4" w:space="0" w:color="000000"/>
            </w:tcBorders>
            <w:shd w:val="clear" w:color="auto" w:fill="auto"/>
            <w:vAlign w:val="center"/>
          </w:tcPr>
          <w:p w14:paraId="4D3D3B94"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40</w:t>
            </w:r>
            <w:r w:rsidRPr="00024914">
              <w:rPr>
                <w:rFonts w:ascii="Arial" w:hAnsi="Arial" w:cs="Arial"/>
                <w:color w:val="010000"/>
                <w:sz w:val="20"/>
              </w:rPr>
              <w:t>%</w:t>
            </w:r>
          </w:p>
        </w:tc>
      </w:tr>
      <w:tr w:rsidR="005C5694" w:rsidRPr="00024914" w14:paraId="4ADA2F0E" w14:textId="77777777" w:rsidTr="00024914">
        <w:tc>
          <w:tcPr>
            <w:tcW w:w="1545" w:type="pct"/>
            <w:tcBorders>
              <w:top w:val="single" w:sz="4" w:space="0" w:color="000000"/>
              <w:left w:val="single" w:sz="4" w:space="0" w:color="000000"/>
              <w:bottom w:val="single" w:sz="4" w:space="0" w:color="000000"/>
            </w:tcBorders>
            <w:shd w:val="clear" w:color="auto" w:fill="auto"/>
            <w:vAlign w:val="center"/>
          </w:tcPr>
          <w:p w14:paraId="0AFC8DCA"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Profit after tax</w:t>
            </w:r>
          </w:p>
        </w:tc>
        <w:tc>
          <w:tcPr>
            <w:tcW w:w="961" w:type="pct"/>
            <w:tcBorders>
              <w:top w:val="single" w:sz="4" w:space="0" w:color="000000"/>
              <w:left w:val="single" w:sz="4" w:space="0" w:color="000000"/>
              <w:bottom w:val="single" w:sz="4" w:space="0" w:color="000000"/>
            </w:tcBorders>
            <w:shd w:val="clear" w:color="auto" w:fill="auto"/>
            <w:vAlign w:val="center"/>
          </w:tcPr>
          <w:p w14:paraId="15D847BE"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6,265,207,695,495</w:t>
            </w:r>
          </w:p>
        </w:tc>
        <w:tc>
          <w:tcPr>
            <w:tcW w:w="968" w:type="pct"/>
            <w:tcBorders>
              <w:top w:val="single" w:sz="4" w:space="0" w:color="000000"/>
              <w:left w:val="single" w:sz="4" w:space="0" w:color="000000"/>
              <w:bottom w:val="single" w:sz="4" w:space="0" w:color="000000"/>
            </w:tcBorders>
            <w:shd w:val="clear" w:color="auto" w:fill="auto"/>
            <w:vAlign w:val="center"/>
          </w:tcPr>
          <w:p w14:paraId="2544F0D5"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7,665,420,318,971</w:t>
            </w:r>
          </w:p>
        </w:tc>
        <w:tc>
          <w:tcPr>
            <w:tcW w:w="1033" w:type="pct"/>
            <w:tcBorders>
              <w:top w:val="single" w:sz="4" w:space="0" w:color="000000"/>
              <w:left w:val="single" w:sz="4" w:space="0" w:color="000000"/>
              <w:bottom w:val="single" w:sz="4" w:space="0" w:color="000000"/>
            </w:tcBorders>
            <w:shd w:val="clear" w:color="auto" w:fill="auto"/>
            <w:vAlign w:val="center"/>
          </w:tcPr>
          <w:p w14:paraId="60D7E6AE"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1,400,212,623,476</w:t>
            </w:r>
            <w:r w:rsidRPr="00024914">
              <w:rPr>
                <w:rFonts w:ascii="Arial" w:hAnsi="Arial" w:cs="Arial"/>
                <w:color w:val="010000"/>
                <w:sz w:val="20"/>
              </w:rPr>
              <w:t>)</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9901B"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w:t>
            </w:r>
            <w:r w:rsidRPr="00024914">
              <w:rPr>
                <w:rFonts w:ascii="Arial" w:hAnsi="Arial" w:cs="Arial"/>
                <w:color w:val="010000"/>
                <w:sz w:val="20"/>
              </w:rPr>
              <w:t>18</w:t>
            </w:r>
            <w:r w:rsidRPr="00024914">
              <w:rPr>
                <w:rFonts w:ascii="Arial" w:hAnsi="Arial" w:cs="Arial"/>
                <w:color w:val="010000"/>
                <w:sz w:val="20"/>
              </w:rPr>
              <w:t>%</w:t>
            </w:r>
          </w:p>
        </w:tc>
      </w:tr>
    </w:tbl>
    <w:p w14:paraId="2F4BFE5C" w14:textId="77777777" w:rsidR="005C5694" w:rsidRPr="00024914" w:rsidRDefault="00024914" w:rsidP="000249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Consolidated profit after tax in </w:t>
      </w:r>
      <w:r w:rsidRPr="00024914">
        <w:rPr>
          <w:rFonts w:ascii="Arial" w:hAnsi="Arial" w:cs="Arial"/>
          <w:color w:val="010000"/>
          <w:sz w:val="20"/>
        </w:rPr>
        <w:t>2023</w:t>
      </w:r>
      <w:r w:rsidRPr="00024914">
        <w:rPr>
          <w:rFonts w:ascii="Arial" w:hAnsi="Arial" w:cs="Arial"/>
          <w:color w:val="010000"/>
          <w:sz w:val="20"/>
        </w:rPr>
        <w:t xml:space="preserve"> decreased by </w:t>
      </w:r>
      <w:r w:rsidRPr="00024914">
        <w:rPr>
          <w:rFonts w:ascii="Arial" w:hAnsi="Arial" w:cs="Arial"/>
          <w:color w:val="010000"/>
          <w:sz w:val="20"/>
        </w:rPr>
        <w:t>18</w:t>
      </w:r>
      <w:r w:rsidRPr="00024914">
        <w:rPr>
          <w:rFonts w:ascii="Arial" w:hAnsi="Arial" w:cs="Arial"/>
          <w:color w:val="010000"/>
          <w:sz w:val="20"/>
        </w:rPr>
        <w:t xml:space="preserve">%, equivalent to VND </w:t>
      </w:r>
      <w:r w:rsidRPr="00024914">
        <w:rPr>
          <w:rFonts w:ascii="Arial" w:hAnsi="Arial" w:cs="Arial"/>
          <w:color w:val="010000"/>
          <w:sz w:val="20"/>
        </w:rPr>
        <w:t>1,400,212,623,476</w:t>
      </w:r>
      <w:r w:rsidRPr="00024914">
        <w:rPr>
          <w:rFonts w:ascii="Arial" w:hAnsi="Arial" w:cs="Arial"/>
          <w:color w:val="010000"/>
          <w:sz w:val="20"/>
        </w:rPr>
        <w:t xml:space="preserve"> compared to the same period last year, mainly due to</w:t>
      </w:r>
      <w:r w:rsidRPr="00024914">
        <w:rPr>
          <w:rFonts w:ascii="Arial" w:hAnsi="Arial" w:cs="Arial"/>
          <w:color w:val="010000"/>
          <w:sz w:val="20"/>
        </w:rPr>
        <w:t>:</w:t>
      </w:r>
    </w:p>
    <w:p w14:paraId="1169D3D6" w14:textId="77777777" w:rsidR="005C5694" w:rsidRPr="00024914" w:rsidRDefault="00024914" w:rsidP="00024914">
      <w:pPr>
        <w:numPr>
          <w:ilvl w:val="0"/>
          <w:numId w:val="3"/>
        </w:numPr>
        <w:pBdr>
          <w:top w:val="nil"/>
          <w:left w:val="nil"/>
          <w:bottom w:val="nil"/>
          <w:right w:val="nil"/>
          <w:between w:val="nil"/>
        </w:pBdr>
        <w:tabs>
          <w:tab w:val="left" w:pos="432"/>
          <w:tab w:val="left" w:pos="2454"/>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Gross profit from goods sales and service provision decreased by </w:t>
      </w:r>
      <w:r w:rsidRPr="00024914">
        <w:rPr>
          <w:rFonts w:ascii="Arial" w:hAnsi="Arial" w:cs="Arial"/>
          <w:color w:val="010000"/>
          <w:sz w:val="20"/>
        </w:rPr>
        <w:t>31</w:t>
      </w:r>
      <w:r w:rsidRPr="00024914">
        <w:rPr>
          <w:rFonts w:ascii="Arial" w:hAnsi="Arial" w:cs="Arial"/>
          <w:color w:val="010000"/>
          <w:sz w:val="20"/>
        </w:rPr>
        <w:t xml:space="preserve">%, equivalent to VND </w:t>
      </w:r>
      <w:r w:rsidRPr="00024914">
        <w:rPr>
          <w:rFonts w:ascii="Arial" w:hAnsi="Arial" w:cs="Arial"/>
          <w:color w:val="010000"/>
          <w:sz w:val="20"/>
        </w:rPr>
        <w:t>203,285,711,804</w:t>
      </w:r>
      <w:r w:rsidRPr="00024914">
        <w:rPr>
          <w:rFonts w:ascii="Arial" w:hAnsi="Arial" w:cs="Arial"/>
          <w:color w:val="010000"/>
          <w:sz w:val="20"/>
        </w:rPr>
        <w:t xml:space="preserve"> compar</w:t>
      </w:r>
      <w:r w:rsidRPr="00024914">
        <w:rPr>
          <w:rFonts w:ascii="Arial" w:hAnsi="Arial" w:cs="Arial"/>
          <w:color w:val="010000"/>
          <w:sz w:val="20"/>
        </w:rPr>
        <w:t>ed to the same period last year (mainly due to increased costs of provisioning for devaluation of inventory);</w:t>
      </w:r>
    </w:p>
    <w:p w14:paraId="23F06600" w14:textId="77777777" w:rsidR="005C5694" w:rsidRPr="00024914" w:rsidRDefault="00024914" w:rsidP="00024914">
      <w:pPr>
        <w:numPr>
          <w:ilvl w:val="0"/>
          <w:numId w:val="3"/>
        </w:numPr>
        <w:pBdr>
          <w:top w:val="nil"/>
          <w:left w:val="nil"/>
          <w:bottom w:val="nil"/>
          <w:right w:val="nil"/>
          <w:between w:val="nil"/>
        </w:pBdr>
        <w:tabs>
          <w:tab w:val="left" w:pos="432"/>
          <w:tab w:val="left" w:pos="2454"/>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Financial activity revenue (mainly bank deposit interest) increased by </w:t>
      </w:r>
      <w:r w:rsidRPr="00024914">
        <w:rPr>
          <w:rFonts w:ascii="Arial" w:hAnsi="Arial" w:cs="Arial"/>
          <w:color w:val="010000"/>
          <w:sz w:val="20"/>
        </w:rPr>
        <w:t>47</w:t>
      </w:r>
      <w:r w:rsidRPr="00024914">
        <w:rPr>
          <w:rFonts w:ascii="Arial" w:hAnsi="Arial" w:cs="Arial"/>
          <w:color w:val="010000"/>
          <w:sz w:val="20"/>
        </w:rPr>
        <w:t xml:space="preserve">%, equivalent to VND </w:t>
      </w:r>
      <w:r w:rsidRPr="00024914">
        <w:rPr>
          <w:rFonts w:ascii="Arial" w:hAnsi="Arial" w:cs="Arial"/>
          <w:color w:val="010000"/>
          <w:sz w:val="20"/>
        </w:rPr>
        <w:t>386,730,110,481</w:t>
      </w:r>
      <w:r w:rsidRPr="00024914">
        <w:rPr>
          <w:rFonts w:ascii="Arial" w:hAnsi="Arial" w:cs="Arial"/>
          <w:color w:val="010000"/>
          <w:sz w:val="20"/>
        </w:rPr>
        <w:t xml:space="preserve"> compared to the same period last yea</w:t>
      </w:r>
      <w:r w:rsidRPr="00024914">
        <w:rPr>
          <w:rFonts w:ascii="Arial" w:hAnsi="Arial" w:cs="Arial"/>
          <w:color w:val="010000"/>
          <w:sz w:val="20"/>
        </w:rPr>
        <w:t>r;</w:t>
      </w:r>
    </w:p>
    <w:p w14:paraId="5885DCC0" w14:textId="77777777" w:rsidR="005C5694" w:rsidRPr="00024914" w:rsidRDefault="00024914" w:rsidP="00024914">
      <w:pPr>
        <w:numPr>
          <w:ilvl w:val="0"/>
          <w:numId w:val="3"/>
        </w:numPr>
        <w:pBdr>
          <w:top w:val="nil"/>
          <w:left w:val="nil"/>
          <w:bottom w:val="nil"/>
          <w:right w:val="nil"/>
          <w:between w:val="nil"/>
        </w:pBdr>
        <w:tabs>
          <w:tab w:val="left" w:pos="432"/>
          <w:tab w:val="left" w:pos="2425"/>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The profit or loss in joint ventures decreased by </w:t>
      </w:r>
      <w:r w:rsidRPr="00024914">
        <w:rPr>
          <w:rFonts w:ascii="Arial" w:hAnsi="Arial" w:cs="Arial"/>
          <w:color w:val="010000"/>
          <w:sz w:val="20"/>
        </w:rPr>
        <w:t>19</w:t>
      </w:r>
      <w:r w:rsidRPr="00024914">
        <w:rPr>
          <w:rFonts w:ascii="Arial" w:hAnsi="Arial" w:cs="Arial"/>
          <w:color w:val="010000"/>
          <w:sz w:val="20"/>
        </w:rPr>
        <w:t xml:space="preserve">%, equivalent to VND </w:t>
      </w:r>
      <w:r w:rsidRPr="00024914">
        <w:rPr>
          <w:rFonts w:ascii="Arial" w:hAnsi="Arial" w:cs="Arial"/>
          <w:color w:val="010000"/>
          <w:sz w:val="20"/>
        </w:rPr>
        <w:t>1,344,906,014,380</w:t>
      </w:r>
      <w:r w:rsidRPr="00024914">
        <w:rPr>
          <w:rFonts w:ascii="Arial" w:hAnsi="Arial" w:cs="Arial"/>
          <w:color w:val="010000"/>
          <w:sz w:val="20"/>
        </w:rPr>
        <w:t xml:space="preserve"> compared to the same period last year;</w:t>
      </w:r>
    </w:p>
    <w:p w14:paraId="227287EB" w14:textId="77777777" w:rsidR="005C5694" w:rsidRPr="00024914" w:rsidRDefault="00024914" w:rsidP="00024914">
      <w:pPr>
        <w:numPr>
          <w:ilvl w:val="0"/>
          <w:numId w:val="3"/>
        </w:numPr>
        <w:pBdr>
          <w:top w:val="nil"/>
          <w:left w:val="nil"/>
          <w:bottom w:val="nil"/>
          <w:right w:val="nil"/>
          <w:between w:val="nil"/>
        </w:pBdr>
        <w:tabs>
          <w:tab w:val="left" w:pos="432"/>
          <w:tab w:val="left" w:pos="2454"/>
        </w:tabs>
        <w:spacing w:after="120" w:line="360" w:lineRule="auto"/>
        <w:rPr>
          <w:rFonts w:ascii="Arial" w:eastAsia="Arial" w:hAnsi="Arial" w:cs="Arial"/>
          <w:color w:val="010000"/>
          <w:sz w:val="20"/>
          <w:szCs w:val="20"/>
        </w:rPr>
      </w:pPr>
      <w:r w:rsidRPr="00024914">
        <w:rPr>
          <w:rFonts w:ascii="Arial" w:hAnsi="Arial" w:cs="Arial"/>
          <w:color w:val="010000"/>
          <w:sz w:val="20"/>
        </w:rPr>
        <w:t xml:space="preserve">Other income decreased by </w:t>
      </w:r>
      <w:r w:rsidRPr="00024914">
        <w:rPr>
          <w:rFonts w:ascii="Arial" w:hAnsi="Arial" w:cs="Arial"/>
          <w:color w:val="010000"/>
          <w:sz w:val="20"/>
        </w:rPr>
        <w:t>90</w:t>
      </w:r>
      <w:r w:rsidRPr="00024914">
        <w:rPr>
          <w:rFonts w:ascii="Arial" w:hAnsi="Arial" w:cs="Arial"/>
          <w:color w:val="010000"/>
          <w:sz w:val="20"/>
        </w:rPr>
        <w:t xml:space="preserve">%, equivalent to VND </w:t>
      </w:r>
      <w:r w:rsidRPr="00024914">
        <w:rPr>
          <w:rFonts w:ascii="Arial" w:hAnsi="Arial" w:cs="Arial"/>
          <w:color w:val="010000"/>
          <w:sz w:val="20"/>
        </w:rPr>
        <w:t>89,981,920,305</w:t>
      </w:r>
      <w:r w:rsidRPr="00024914">
        <w:rPr>
          <w:rFonts w:ascii="Arial" w:hAnsi="Arial" w:cs="Arial"/>
          <w:color w:val="010000"/>
          <w:sz w:val="20"/>
        </w:rPr>
        <w:t xml:space="preserve"> compared to the same period last year. </w:t>
      </w:r>
    </w:p>
    <w:sectPr w:rsidR="005C5694" w:rsidRPr="00024914" w:rsidSect="0002491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97B"/>
    <w:multiLevelType w:val="multilevel"/>
    <w:tmpl w:val="6DEA47C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6F2EC3"/>
    <w:multiLevelType w:val="multilevel"/>
    <w:tmpl w:val="33AE23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2A1E28"/>
    <w:multiLevelType w:val="multilevel"/>
    <w:tmpl w:val="3ECC82D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754345"/>
    <w:multiLevelType w:val="multilevel"/>
    <w:tmpl w:val="F8B4ADF2"/>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C841A63"/>
    <w:multiLevelType w:val="multilevel"/>
    <w:tmpl w:val="ECFC424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94"/>
    <w:rsid w:val="00024914"/>
    <w:rsid w:val="005C56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15CCA"/>
  <w15:docId w15:val="{F5F241D0-3A1E-4860-A7FD-29DFE35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spacing w:line="228" w:lineRule="auto"/>
    </w:pPr>
    <w:rPr>
      <w:rFonts w:ascii="Arial" w:eastAsia="Arial" w:hAnsi="Arial" w:cs="Arial"/>
      <w:b/>
      <w:bCs/>
      <w:sz w:val="8"/>
      <w:szCs w:val="8"/>
    </w:rPr>
  </w:style>
  <w:style w:type="paragraph" w:customStyle="1" w:styleId="Heading11">
    <w:name w:val="Heading #1"/>
    <w:basedOn w:val="Normal"/>
    <w:link w:val="Heading10"/>
    <w:pPr>
      <w:spacing w:line="257" w:lineRule="auto"/>
      <w:ind w:left="2130"/>
      <w:outlineLvl w:val="0"/>
    </w:pPr>
    <w:rPr>
      <w:rFonts w:ascii="Times New Roman" w:eastAsia="Times New Roman" w:hAnsi="Times New Roman" w:cs="Times New Roman"/>
      <w:b/>
      <w:bCs/>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left="148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S0mdO1C3vmR5NZ0G2Sl9BBrUHw==">CgMxLjA4AHIhMW9MRVhUT3JQN1BFTDc4OE5GVy16Q3RxcDFqNnpxQmxQ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8250</Characters>
  <Application>Microsoft Office Word</Application>
  <DocSecurity>0</DocSecurity>
  <Lines>222</Lines>
  <Paragraphs>160</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2024-04-02T04:40:00Z</dcterms:created>
  <dcterms:modified xsi:type="dcterms:W3CDTF">2024-04-03T03:06:00Z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a1aaa3322aedef4abe363c88145896352196585db10b5ec5b6a07fff8c052f0c</vt:lpwstr>
  </property>
</Properties>
</file>