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BCDA1C4" w:rsidR="004E217D" w:rsidRDefault="002D16A0">
      <w:p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ABB: Transaction on credit card issuance for PDMR</w:t>
      </w:r>
    </w:p>
    <w:p w14:paraId="00000002" w14:textId="77777777" w:rsidR="004E217D" w:rsidRDefault="002D16A0">
      <w:p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1, 2024, An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Commercial Joint Stock Bank announced Official Dispatch No. 51/CV-HDQT.24 as follows: </w:t>
      </w:r>
    </w:p>
    <w:p w14:paraId="00000003" w14:textId="18B786E3" w:rsidR="004E217D" w:rsidRDefault="002D16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1, 2024, the Board of Directors of An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Commercial Joint Stock Bank approved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issuing credit cards for Ms. Nguyen Thi </w:t>
      </w:r>
      <w:proofErr w:type="spellStart"/>
      <w:r>
        <w:rPr>
          <w:rFonts w:ascii="Arial" w:hAnsi="Arial"/>
          <w:color w:val="010000"/>
          <w:sz w:val="20"/>
        </w:rPr>
        <w:t>Huong</w:t>
      </w:r>
      <w:proofErr w:type="spellEnd"/>
      <w:r>
        <w:rPr>
          <w:rFonts w:ascii="Arial" w:hAnsi="Arial"/>
          <w:color w:val="010000"/>
          <w:sz w:val="20"/>
        </w:rPr>
        <w:t xml:space="preserve"> - PDMR of ABBANK, Deputy General Manager Credit limit: VND 500,000,000; </w:t>
      </w:r>
    </w:p>
    <w:p w14:paraId="00000004" w14:textId="77777777" w:rsidR="004E217D" w:rsidRDefault="004E217D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4E217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7D"/>
    <w:rsid w:val="002D16A0"/>
    <w:rsid w:val="004E217D"/>
    <w:rsid w:val="009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2802F"/>
  <w15:docId w15:val="{731364FB-D2A3-4C63-B539-7801BAA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64B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F3F5A"/>
      <w:w w:val="8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color w:val="42464B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EF3F5A"/>
      <w:w w:val="80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K8Pk+wSSujfdkV4AjyYJ+ytG8A==">CgMxLjA4AHIhMWVsV1A5ckhSYnVUQ3N3WERObEQzNVVDM2NTZTVSUDJn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309</Characters>
  <Application>Microsoft Office Word</Application>
  <DocSecurity>0</DocSecurity>
  <Lines>6</Lines>
  <Paragraphs>3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2024-04-03T04:50:00Z</dcterms:created>
  <dcterms:modified xsi:type="dcterms:W3CDTF">2024-04-04T04:03:00Z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fd80d77a8b3798ee06828c4f063576a898d10739e036aec6c11995de42a8a78b</vt:lpwstr>
  </property>
</Properties>
</file>