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3DA1" w14:textId="77777777" w:rsidR="009D51FE" w:rsidRPr="007F6135" w:rsidRDefault="00AF6030" w:rsidP="007F613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F6135">
        <w:rPr>
          <w:rFonts w:ascii="Arial" w:hAnsi="Arial" w:cs="Arial"/>
          <w:b/>
          <w:color w:val="010000"/>
          <w:sz w:val="20"/>
          <w:szCs w:val="20"/>
        </w:rPr>
        <w:t>ALT: Explanation on the consolidated business results of 2023 before and after audit</w:t>
      </w:r>
    </w:p>
    <w:p w14:paraId="341FD267" w14:textId="7129B301" w:rsidR="009D51FE" w:rsidRPr="007F6135" w:rsidRDefault="00AF6030" w:rsidP="007F613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F6135">
        <w:rPr>
          <w:rFonts w:ascii="Arial" w:hAnsi="Arial" w:cs="Arial"/>
          <w:color w:val="010000"/>
          <w:sz w:val="20"/>
          <w:szCs w:val="20"/>
        </w:rPr>
        <w:t>On March 29, 2024, ALTA Company announced Official Dispatch No. 11/2024/VB-ALT on the information disclosure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522"/>
        <w:gridCol w:w="1522"/>
        <w:gridCol w:w="1434"/>
        <w:gridCol w:w="2994"/>
      </w:tblGrid>
      <w:tr w:rsidR="009D51FE" w:rsidRPr="007F6135" w14:paraId="644481D2" w14:textId="77777777">
        <w:tc>
          <w:tcPr>
            <w:tcW w:w="1545" w:type="dxa"/>
            <w:shd w:val="clear" w:color="auto" w:fill="auto"/>
            <w:vAlign w:val="center"/>
          </w:tcPr>
          <w:p w14:paraId="43D78120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D817BF2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Business results of 2023 before audit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B7CCC28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Business results of 2023 after audit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DB0DAD1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Difference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4C77E49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Explanation</w:t>
            </w:r>
          </w:p>
        </w:tc>
      </w:tr>
      <w:tr w:rsidR="009D51FE" w:rsidRPr="007F6135" w14:paraId="443B5DDF" w14:textId="77777777">
        <w:tc>
          <w:tcPr>
            <w:tcW w:w="1545" w:type="dxa"/>
            <w:shd w:val="clear" w:color="auto" w:fill="auto"/>
            <w:vAlign w:val="center"/>
          </w:tcPr>
          <w:p w14:paraId="3335442F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GoBack" w:colFirst="1" w:colLast="3"/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 Revenue from goods sales and service provision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D859252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306,299,533,762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84B261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304,082,597,574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5FFF838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(2,216,936,188)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7E27654" w14:textId="77777777" w:rsidR="009D51FE" w:rsidRPr="007F6135" w:rsidRDefault="00AF6030" w:rsidP="007F61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Decrease revenue recorded at Subsidiaries of VND 13,527,500</w:t>
            </w:r>
          </w:p>
          <w:p w14:paraId="35E24344" w14:textId="77777777" w:rsidR="009D51FE" w:rsidRPr="007F6135" w:rsidRDefault="00AF6030" w:rsidP="007F61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 xml:space="preserve">Add exclusion of internal revenue of VND 2,203,408,688 </w:t>
            </w:r>
          </w:p>
        </w:tc>
      </w:tr>
      <w:tr w:rsidR="009D51FE" w:rsidRPr="007F6135" w14:paraId="7481D2A3" w14:textId="77777777">
        <w:tc>
          <w:tcPr>
            <w:tcW w:w="1545" w:type="dxa"/>
            <w:shd w:val="clear" w:color="auto" w:fill="auto"/>
            <w:vAlign w:val="center"/>
          </w:tcPr>
          <w:p w14:paraId="348D0982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2. Cost of goods sold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1B27D5F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259,332,245,885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7806161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260,601,563,379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324A518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1,269,317,494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FDE8845" w14:textId="77777777" w:rsidR="009D51FE" w:rsidRPr="007F6135" w:rsidRDefault="00AF6030" w:rsidP="007F61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Reduce cost of capital corresponding to revenue recorded at the Subsidiary: VND 11,613,456</w:t>
            </w:r>
          </w:p>
          <w:p w14:paraId="771EB753" w14:textId="77777777" w:rsidR="009D51FE" w:rsidRPr="007F6135" w:rsidRDefault="00AF6030" w:rsidP="007F61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 xml:space="preserve">Add Internal cost of VND 1,073,113,414 </w:t>
            </w:r>
          </w:p>
          <w:p w14:paraId="706BD972" w14:textId="77777777" w:rsidR="009D51FE" w:rsidRPr="007F6135" w:rsidRDefault="00AF6030" w:rsidP="007F61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Add management costs that are mistakenly recorded as cost of goods sold at the Holding Company of VND 207,817,536</w:t>
            </w:r>
          </w:p>
        </w:tc>
      </w:tr>
      <w:tr w:rsidR="009D51FE" w:rsidRPr="007F6135" w14:paraId="5C503A86" w14:textId="77777777">
        <w:tc>
          <w:tcPr>
            <w:tcW w:w="1545" w:type="dxa"/>
            <w:shd w:val="clear" w:color="auto" w:fill="auto"/>
            <w:vAlign w:val="center"/>
          </w:tcPr>
          <w:p w14:paraId="337AAA88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3. Gross profit from goods sale and services provision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3ECEBDE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46,615,284,514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321499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43,129,030,832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0FEFB5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(3,486,253,682)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16BB6CA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Due to changing the above factors.</w:t>
            </w:r>
          </w:p>
        </w:tc>
      </w:tr>
      <w:tr w:rsidR="009D51FE" w:rsidRPr="007F6135" w14:paraId="4CFEC29C" w14:textId="77777777">
        <w:tc>
          <w:tcPr>
            <w:tcW w:w="1545" w:type="dxa"/>
            <w:shd w:val="clear" w:color="auto" w:fill="auto"/>
            <w:vAlign w:val="center"/>
          </w:tcPr>
          <w:p w14:paraId="0CE20A0A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4. Revenue from financial activities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6A7CF9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5,546,555,698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ED2AE69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5,609,748,901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379EFF2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63,193,203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7F71638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Account to supplement interest income from deposits at Subsidiaries of VND 63,193,203</w:t>
            </w:r>
          </w:p>
          <w:p w14:paraId="4D1C2D32" w14:textId="77777777" w:rsidR="009D51FE" w:rsidRPr="007F6135" w:rsidRDefault="009D51FE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51FE" w:rsidRPr="007F6135" w14:paraId="5457BE6B" w14:textId="77777777">
        <w:tc>
          <w:tcPr>
            <w:tcW w:w="1545" w:type="dxa"/>
            <w:shd w:val="clear" w:color="auto" w:fill="auto"/>
            <w:vAlign w:val="center"/>
          </w:tcPr>
          <w:p w14:paraId="647CC6A4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5. Financial expenses: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1DD77F8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2,891,617,768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8501845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3,474,591,674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3BFEB3A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582,973,906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4AFF9F2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Account to supplement financial expenses at Subsidiaries of VND 582,973,906</w:t>
            </w:r>
          </w:p>
          <w:p w14:paraId="5E1485A4" w14:textId="77777777" w:rsidR="009D51FE" w:rsidRPr="007F6135" w:rsidRDefault="009D51FE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D51FE" w:rsidRPr="007F6135" w14:paraId="64B57090" w14:textId="77777777">
        <w:tc>
          <w:tcPr>
            <w:tcW w:w="1545" w:type="dxa"/>
            <w:shd w:val="clear" w:color="auto" w:fill="auto"/>
            <w:vAlign w:val="center"/>
          </w:tcPr>
          <w:p w14:paraId="4530E08B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6. Profits (losses) in joint ventures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F230DE2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140,300,201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ED88BB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148,661,173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473D10D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8,360,972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A27D223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Add profit of joint ventures of VND 8,360,972</w:t>
            </w:r>
          </w:p>
        </w:tc>
      </w:tr>
      <w:tr w:rsidR="009D51FE" w:rsidRPr="007F6135" w14:paraId="269EC5C5" w14:textId="77777777">
        <w:tc>
          <w:tcPr>
            <w:tcW w:w="1545" w:type="dxa"/>
            <w:shd w:val="clear" w:color="auto" w:fill="auto"/>
            <w:vAlign w:val="center"/>
          </w:tcPr>
          <w:p w14:paraId="1FAC3B3A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7. General and administrative expense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D68DDAA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29,660,205,347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B0C8213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26,025,040,571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9E6D90A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(3,635,164,776)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82108B5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Add exclusion of internal business management costs of 3,292,572,516;</w:t>
            </w:r>
          </w:p>
          <w:p w14:paraId="3657EACF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Account for salary cost reduction of VND 134,774,724.</w:t>
            </w:r>
          </w:p>
          <w:p w14:paraId="65D7E5FB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 xml:space="preserve">Reclassify and transfer </w:t>
            </w:r>
            <w:proofErr w:type="spellStart"/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misrecorded</w:t>
            </w:r>
            <w:proofErr w:type="spellEnd"/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 xml:space="preserve"> costs to cost of goods sold at the Holding Company of VND 207,817,536</w:t>
            </w:r>
          </w:p>
        </w:tc>
      </w:tr>
      <w:tr w:rsidR="009D51FE" w:rsidRPr="007F6135" w14:paraId="5B1CFA5E" w14:textId="77777777">
        <w:tc>
          <w:tcPr>
            <w:tcW w:w="1545" w:type="dxa"/>
            <w:shd w:val="clear" w:color="auto" w:fill="auto"/>
            <w:vAlign w:val="center"/>
          </w:tcPr>
          <w:p w14:paraId="3415EC83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8. Net profit from business activities</w:t>
            </w:r>
          </w:p>
          <w:p w14:paraId="481F1E2E" w14:textId="77777777" w:rsidR="009D51FE" w:rsidRPr="007F6135" w:rsidRDefault="009D51FE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CD59437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7,379,430,160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8A3E316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7,016,921,523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24BAC6B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(362,508,637)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C224E27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Due to changing the above factors.</w:t>
            </w:r>
          </w:p>
        </w:tc>
      </w:tr>
      <w:tr w:rsidR="009D51FE" w:rsidRPr="007F6135" w14:paraId="152B3AA8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DDF1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9.  Other incomes: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0857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3,326,369,128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EEBD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2,234,067,392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A041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(1,092,301,736)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9E0E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Audit to adjust the amount of accrued interest of VND 1,092,301,737</w:t>
            </w:r>
          </w:p>
        </w:tc>
      </w:tr>
      <w:tr w:rsidR="009D51FE" w:rsidRPr="007F6135" w14:paraId="6DB2B6E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0205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10. Other expenses: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3C2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487,852,539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8E5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685,505,597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621D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197,653,058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BE37" w14:textId="77777777" w:rsidR="009D51FE" w:rsidRPr="007F6135" w:rsidRDefault="00AF6030" w:rsidP="007F61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Add costs due to breach of contract at the Holding Company of VND 130,522,385</w:t>
            </w:r>
          </w:p>
          <w:p w14:paraId="47B108FD" w14:textId="77777777" w:rsidR="009D51FE" w:rsidRPr="007F6135" w:rsidRDefault="00AF6030" w:rsidP="007F61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Add other expenses at Subsidiaries of VND 67,130,673</w:t>
            </w:r>
          </w:p>
        </w:tc>
      </w:tr>
      <w:tr w:rsidR="009D51FE" w:rsidRPr="007F6135" w14:paraId="63D93678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0326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11. Other profits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C868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2,838,516,589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2483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1,548,561,795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6A44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(1,289,954,794)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80C8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Due to changing the above factors.</w:t>
            </w:r>
          </w:p>
        </w:tc>
      </w:tr>
      <w:tr w:rsidR="009D51FE" w:rsidRPr="007F6135" w14:paraId="3EBD8CE2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942E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12. Total profit before tax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627C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10,217,946,749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E43F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8,565,483,318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1D6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(1,652,463,431)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D991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Due to changing the above factors.</w:t>
            </w:r>
          </w:p>
        </w:tc>
      </w:tr>
      <w:tr w:rsidR="009D51FE" w:rsidRPr="007F6135" w14:paraId="6A4A21F2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81A9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13. Current corporate income tax expense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F5C8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1,742,656,440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B4C7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1,602,383,313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F5D6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(140,273,127)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C76B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Due to changing the above factors.</w:t>
            </w:r>
          </w:p>
        </w:tc>
      </w:tr>
      <w:tr w:rsidR="009D51FE" w:rsidRPr="007F6135" w14:paraId="1E0986C6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2518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14. Deferred current corporate income tax expense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DDF1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(200,636,035)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053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(56,339,901)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C55A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144,296,134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E630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The Auditor adjusted deferred current corporate income tax expense into the business results of last year</w:t>
            </w:r>
          </w:p>
        </w:tc>
      </w:tr>
      <w:tr w:rsidR="009D51FE" w:rsidRPr="007F6135" w14:paraId="62C2EA6F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0A68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15. Profit after tax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25A0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8,675,926,344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500D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7,019,439,906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F644" w14:textId="77777777" w:rsidR="009D51FE" w:rsidRPr="007F6135" w:rsidRDefault="00AF6030" w:rsidP="00A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(1,656,486,438)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459F" w14:textId="77777777" w:rsidR="009D51FE" w:rsidRPr="007F6135" w:rsidRDefault="00AF6030" w:rsidP="007F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6135">
              <w:rPr>
                <w:rFonts w:ascii="Arial" w:hAnsi="Arial" w:cs="Arial"/>
                <w:color w:val="010000"/>
                <w:sz w:val="20"/>
                <w:szCs w:val="20"/>
              </w:rPr>
              <w:t>Due to changing the above factors.</w:t>
            </w:r>
          </w:p>
        </w:tc>
      </w:tr>
      <w:bookmarkEnd w:id="1"/>
    </w:tbl>
    <w:p w14:paraId="5D41DFD3" w14:textId="77777777" w:rsidR="009D51FE" w:rsidRPr="007F6135" w:rsidRDefault="009D51FE" w:rsidP="007F613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D51FE" w:rsidRPr="007F6135">
      <w:type w:val="continuous"/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967"/>
    <w:multiLevelType w:val="multilevel"/>
    <w:tmpl w:val="66E6EC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316FCF"/>
    <w:multiLevelType w:val="multilevel"/>
    <w:tmpl w:val="4C7C94E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F26783"/>
    <w:multiLevelType w:val="multilevel"/>
    <w:tmpl w:val="932EB3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FE"/>
    <w:rsid w:val="007F6135"/>
    <w:rsid w:val="009D51FE"/>
    <w:rsid w:val="00A36772"/>
    <w:rsid w:val="00A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49"/>
  <w15:docId w15:val="{BA8D646B-29DA-4E90-8297-7FDA7A0E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7D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i/>
      <w:i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74" w:lineRule="auto"/>
      <w:ind w:left="32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Bookman Old Style" w:eastAsia="Bookman Old Style" w:hAnsi="Bookman Old Style" w:cs="Bookman Old Style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09" w:lineRule="auto"/>
      <w:ind w:firstLine="150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136" w:lineRule="exact"/>
      <w:ind w:firstLine="160"/>
    </w:pPr>
    <w:rPr>
      <w:rFonts w:ascii="Arial" w:eastAsia="Arial" w:hAnsi="Arial" w:cs="Arial"/>
      <w:b/>
      <w:bCs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Ae8UYvieca2uHflunBlzKR2PbQ==">CgMxLjAyCGguZ2pkZ3hzOAByITE5cGNGTTJlc2FuWDVpbjA1NkJQTWRaMzF1TmRGSW9IcA==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2024-04-04T04:03:00Z</dcterms:created>
  <dcterms:modified xsi:type="dcterms:W3CDTF">2024-04-05T09:04:00Z</dcterms:modified>
</cp:coreProperties>
</file>