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0588D" w14:textId="3540E6E7" w:rsidR="008F7DD5" w:rsidRPr="000F4541" w:rsidRDefault="00207D4B" w:rsidP="000F4541">
      <w:pPr>
        <w:pBdr>
          <w:top w:val="nil"/>
          <w:left w:val="nil"/>
          <w:bottom w:val="nil"/>
          <w:right w:val="nil"/>
          <w:between w:val="nil"/>
        </w:pBdr>
        <w:tabs>
          <w:tab w:val="left" w:pos="432"/>
          <w:tab w:val="left" w:pos="1671"/>
          <w:tab w:val="left" w:pos="1926"/>
        </w:tabs>
        <w:spacing w:after="120" w:line="360" w:lineRule="auto"/>
        <w:jc w:val="both"/>
        <w:rPr>
          <w:rFonts w:ascii="Arial" w:eastAsia="Arial" w:hAnsi="Arial" w:cs="Arial"/>
          <w:b/>
          <w:color w:val="010000"/>
          <w:sz w:val="20"/>
          <w:szCs w:val="20"/>
        </w:rPr>
      </w:pPr>
      <w:bookmarkStart w:id="0" w:name="_heading=h.gjdgxs"/>
      <w:bookmarkEnd w:id="0"/>
      <w:r w:rsidRPr="000F4541">
        <w:rPr>
          <w:rFonts w:ascii="Arial" w:hAnsi="Arial" w:cs="Arial"/>
          <w:b/>
          <w:color w:val="010000"/>
          <w:sz w:val="20"/>
          <w:szCs w:val="20"/>
        </w:rPr>
        <w:t>A</w:t>
      </w:r>
      <w:r w:rsidR="00DD0CAE" w:rsidRPr="000F4541">
        <w:rPr>
          <w:rFonts w:ascii="Arial" w:hAnsi="Arial" w:cs="Arial"/>
          <w:b/>
          <w:color w:val="010000"/>
          <w:sz w:val="20"/>
          <w:szCs w:val="20"/>
        </w:rPr>
        <w:t>PI: Explanation of</w:t>
      </w:r>
      <w:r w:rsidRPr="000F4541">
        <w:rPr>
          <w:rFonts w:ascii="Arial" w:hAnsi="Arial" w:cs="Arial"/>
          <w:b/>
          <w:color w:val="010000"/>
          <w:sz w:val="20"/>
          <w:szCs w:val="20"/>
        </w:rPr>
        <w:t xml:space="preserve"> the Financial Statements 2023</w:t>
      </w:r>
    </w:p>
    <w:p w14:paraId="7AAFAE9B" w14:textId="23226BDB" w:rsidR="008F7DD5" w:rsidRPr="000F4541" w:rsidRDefault="00207D4B" w:rsidP="000F4541">
      <w:pPr>
        <w:pBdr>
          <w:top w:val="nil"/>
          <w:left w:val="nil"/>
          <w:bottom w:val="nil"/>
          <w:right w:val="nil"/>
          <w:between w:val="nil"/>
        </w:pBdr>
        <w:tabs>
          <w:tab w:val="left" w:pos="432"/>
          <w:tab w:val="left" w:pos="1671"/>
          <w:tab w:val="left" w:pos="1926"/>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 xml:space="preserve">On March 30, 2024, </w:t>
      </w:r>
      <w:r w:rsidR="000F4541">
        <w:rPr>
          <w:rFonts w:ascii="Arial" w:hAnsi="Arial" w:cs="Arial"/>
          <w:color w:val="010000"/>
          <w:sz w:val="20"/>
          <w:szCs w:val="20"/>
        </w:rPr>
        <w:t>Asia-Pacific</w:t>
      </w:r>
      <w:r w:rsidRPr="000F4541">
        <w:rPr>
          <w:rFonts w:ascii="Arial" w:hAnsi="Arial" w:cs="Arial"/>
          <w:color w:val="010000"/>
          <w:sz w:val="20"/>
          <w:szCs w:val="20"/>
        </w:rPr>
        <w:t xml:space="preserve"> Investment JSC announced Official Dispatch No. 16B/2023/CV-API on the information disclose of the Financial Statements 2024 and the related explanation as follows:</w:t>
      </w:r>
    </w:p>
    <w:tbl>
      <w:tblPr>
        <w:tblStyle w:val="a"/>
        <w:tblW w:w="9355" w:type="dxa"/>
        <w:tblLayout w:type="fixed"/>
        <w:tblLook w:val="0400" w:firstRow="0" w:lastRow="0" w:firstColumn="0" w:lastColumn="0" w:noHBand="0" w:noVBand="1"/>
      </w:tblPr>
      <w:tblGrid>
        <w:gridCol w:w="398"/>
        <w:gridCol w:w="1401"/>
        <w:gridCol w:w="1522"/>
        <w:gridCol w:w="1522"/>
        <w:gridCol w:w="642"/>
        <w:gridCol w:w="1530"/>
        <w:gridCol w:w="1530"/>
        <w:gridCol w:w="810"/>
      </w:tblGrid>
      <w:tr w:rsidR="008F7DD5" w:rsidRPr="000F4541" w14:paraId="1A9C023B" w14:textId="77777777" w:rsidTr="000F4541">
        <w:tc>
          <w:tcPr>
            <w:tcW w:w="398" w:type="dxa"/>
            <w:vMerge w:val="restart"/>
            <w:tcBorders>
              <w:top w:val="single" w:sz="4" w:space="0" w:color="000000"/>
              <w:left w:val="single" w:sz="4" w:space="0" w:color="000000"/>
            </w:tcBorders>
            <w:shd w:val="clear" w:color="auto" w:fill="auto"/>
            <w:vAlign w:val="center"/>
          </w:tcPr>
          <w:p w14:paraId="40CA7202"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No.</w:t>
            </w:r>
          </w:p>
        </w:tc>
        <w:tc>
          <w:tcPr>
            <w:tcW w:w="1401" w:type="dxa"/>
            <w:vMerge w:val="restart"/>
            <w:tcBorders>
              <w:top w:val="single" w:sz="4" w:space="0" w:color="000000"/>
              <w:left w:val="single" w:sz="4" w:space="0" w:color="000000"/>
            </w:tcBorders>
            <w:shd w:val="clear" w:color="auto" w:fill="auto"/>
            <w:vAlign w:val="center"/>
          </w:tcPr>
          <w:p w14:paraId="3184A0C0"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Target</w:t>
            </w:r>
          </w:p>
        </w:tc>
        <w:tc>
          <w:tcPr>
            <w:tcW w:w="3686" w:type="dxa"/>
            <w:gridSpan w:val="3"/>
            <w:tcBorders>
              <w:top w:val="single" w:sz="4" w:space="0" w:color="000000"/>
              <w:left w:val="single" w:sz="4" w:space="0" w:color="000000"/>
            </w:tcBorders>
            <w:shd w:val="clear" w:color="auto" w:fill="auto"/>
            <w:vAlign w:val="center"/>
          </w:tcPr>
          <w:p w14:paraId="4817C06A"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Financial Statements of the Holding Company</w:t>
            </w:r>
          </w:p>
        </w:tc>
        <w:tc>
          <w:tcPr>
            <w:tcW w:w="3870" w:type="dxa"/>
            <w:gridSpan w:val="3"/>
            <w:tcBorders>
              <w:top w:val="single" w:sz="4" w:space="0" w:color="000000"/>
              <w:left w:val="single" w:sz="4" w:space="0" w:color="000000"/>
              <w:right w:val="single" w:sz="4" w:space="0" w:color="000000"/>
            </w:tcBorders>
            <w:shd w:val="clear" w:color="auto" w:fill="auto"/>
            <w:vAlign w:val="center"/>
          </w:tcPr>
          <w:p w14:paraId="523D741B"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Consolidated Financial Statements</w:t>
            </w:r>
          </w:p>
        </w:tc>
      </w:tr>
      <w:tr w:rsidR="008F7DD5" w:rsidRPr="000F4541" w14:paraId="06D507FA" w14:textId="77777777" w:rsidTr="000F4541">
        <w:tc>
          <w:tcPr>
            <w:tcW w:w="398" w:type="dxa"/>
            <w:vMerge/>
            <w:tcBorders>
              <w:top w:val="single" w:sz="4" w:space="0" w:color="000000"/>
              <w:left w:val="single" w:sz="4" w:space="0" w:color="000000"/>
            </w:tcBorders>
            <w:shd w:val="clear" w:color="auto" w:fill="auto"/>
            <w:vAlign w:val="center"/>
          </w:tcPr>
          <w:p w14:paraId="6E0E63C7" w14:textId="77777777" w:rsidR="008F7DD5" w:rsidRPr="000F4541" w:rsidRDefault="008F7DD5" w:rsidP="000F4541">
            <w:pPr>
              <w:pBdr>
                <w:top w:val="nil"/>
                <w:left w:val="nil"/>
                <w:bottom w:val="nil"/>
                <w:right w:val="nil"/>
                <w:between w:val="nil"/>
              </w:pBdr>
              <w:spacing w:line="276" w:lineRule="auto"/>
              <w:jc w:val="center"/>
              <w:rPr>
                <w:rFonts w:ascii="Arial" w:eastAsia="Arial" w:hAnsi="Arial" w:cs="Arial"/>
                <w:color w:val="010000"/>
                <w:sz w:val="20"/>
                <w:szCs w:val="20"/>
              </w:rPr>
            </w:pPr>
          </w:p>
        </w:tc>
        <w:tc>
          <w:tcPr>
            <w:tcW w:w="1401" w:type="dxa"/>
            <w:vMerge/>
            <w:tcBorders>
              <w:top w:val="single" w:sz="4" w:space="0" w:color="000000"/>
              <w:left w:val="single" w:sz="4" w:space="0" w:color="000000"/>
            </w:tcBorders>
            <w:shd w:val="clear" w:color="auto" w:fill="auto"/>
            <w:vAlign w:val="center"/>
          </w:tcPr>
          <w:p w14:paraId="3916BB09" w14:textId="77777777" w:rsidR="008F7DD5" w:rsidRPr="000F4541" w:rsidRDefault="008F7DD5" w:rsidP="000F4541">
            <w:pPr>
              <w:pBdr>
                <w:top w:val="nil"/>
                <w:left w:val="nil"/>
                <w:bottom w:val="nil"/>
                <w:right w:val="nil"/>
                <w:between w:val="nil"/>
              </w:pBdr>
              <w:spacing w:line="276" w:lineRule="auto"/>
              <w:jc w:val="center"/>
              <w:rPr>
                <w:rFonts w:ascii="Arial" w:eastAsia="Arial" w:hAnsi="Arial" w:cs="Arial"/>
                <w:color w:val="010000"/>
                <w:sz w:val="20"/>
                <w:szCs w:val="20"/>
              </w:rPr>
            </w:pPr>
          </w:p>
        </w:tc>
        <w:tc>
          <w:tcPr>
            <w:tcW w:w="1522" w:type="dxa"/>
            <w:tcBorders>
              <w:top w:val="single" w:sz="4" w:space="0" w:color="000000"/>
              <w:left w:val="single" w:sz="4" w:space="0" w:color="000000"/>
            </w:tcBorders>
            <w:shd w:val="clear" w:color="auto" w:fill="auto"/>
            <w:vAlign w:val="center"/>
          </w:tcPr>
          <w:p w14:paraId="381217EB"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2023</w:t>
            </w:r>
          </w:p>
        </w:tc>
        <w:tc>
          <w:tcPr>
            <w:tcW w:w="1522" w:type="dxa"/>
            <w:tcBorders>
              <w:top w:val="single" w:sz="4" w:space="0" w:color="000000"/>
              <w:left w:val="single" w:sz="4" w:space="0" w:color="000000"/>
            </w:tcBorders>
            <w:shd w:val="clear" w:color="auto" w:fill="auto"/>
            <w:vAlign w:val="center"/>
          </w:tcPr>
          <w:p w14:paraId="292C6F6F"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2022</w:t>
            </w:r>
          </w:p>
        </w:tc>
        <w:tc>
          <w:tcPr>
            <w:tcW w:w="642" w:type="dxa"/>
            <w:tcBorders>
              <w:top w:val="single" w:sz="4" w:space="0" w:color="000000"/>
              <w:left w:val="single" w:sz="4" w:space="0" w:color="000000"/>
            </w:tcBorders>
            <w:shd w:val="clear" w:color="auto" w:fill="auto"/>
            <w:vAlign w:val="center"/>
          </w:tcPr>
          <w:p w14:paraId="28BBBFBB"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Difference rate</w:t>
            </w:r>
          </w:p>
        </w:tc>
        <w:tc>
          <w:tcPr>
            <w:tcW w:w="1530" w:type="dxa"/>
            <w:tcBorders>
              <w:top w:val="single" w:sz="4" w:space="0" w:color="000000"/>
              <w:left w:val="single" w:sz="4" w:space="0" w:color="000000"/>
            </w:tcBorders>
            <w:shd w:val="clear" w:color="auto" w:fill="auto"/>
            <w:vAlign w:val="center"/>
          </w:tcPr>
          <w:p w14:paraId="45B72A92"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2023</w:t>
            </w:r>
          </w:p>
        </w:tc>
        <w:tc>
          <w:tcPr>
            <w:tcW w:w="1530" w:type="dxa"/>
            <w:tcBorders>
              <w:top w:val="single" w:sz="4" w:space="0" w:color="000000"/>
              <w:left w:val="single" w:sz="4" w:space="0" w:color="000000"/>
            </w:tcBorders>
            <w:shd w:val="clear" w:color="auto" w:fill="auto"/>
            <w:vAlign w:val="center"/>
          </w:tcPr>
          <w:p w14:paraId="1EE90160"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2022</w:t>
            </w:r>
          </w:p>
        </w:tc>
        <w:tc>
          <w:tcPr>
            <w:tcW w:w="810" w:type="dxa"/>
            <w:tcBorders>
              <w:top w:val="single" w:sz="4" w:space="0" w:color="000000"/>
              <w:left w:val="single" w:sz="4" w:space="0" w:color="000000"/>
              <w:right w:val="single" w:sz="4" w:space="0" w:color="000000"/>
            </w:tcBorders>
            <w:shd w:val="clear" w:color="auto" w:fill="auto"/>
            <w:vAlign w:val="center"/>
          </w:tcPr>
          <w:p w14:paraId="6BE68DA6"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Difference rate</w:t>
            </w:r>
          </w:p>
        </w:tc>
      </w:tr>
      <w:tr w:rsidR="008F7DD5" w:rsidRPr="000F4541" w14:paraId="161CA672" w14:textId="77777777" w:rsidTr="000F4541">
        <w:tc>
          <w:tcPr>
            <w:tcW w:w="398" w:type="dxa"/>
            <w:tcBorders>
              <w:top w:val="single" w:sz="4" w:space="0" w:color="000000"/>
              <w:left w:val="single" w:sz="4" w:space="0" w:color="000000"/>
            </w:tcBorders>
            <w:shd w:val="clear" w:color="auto" w:fill="auto"/>
            <w:vAlign w:val="center"/>
          </w:tcPr>
          <w:p w14:paraId="359FC03D"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1</w:t>
            </w:r>
          </w:p>
        </w:tc>
        <w:tc>
          <w:tcPr>
            <w:tcW w:w="1401" w:type="dxa"/>
            <w:tcBorders>
              <w:top w:val="single" w:sz="4" w:space="0" w:color="000000"/>
              <w:left w:val="single" w:sz="4" w:space="0" w:color="000000"/>
            </w:tcBorders>
            <w:shd w:val="clear" w:color="auto" w:fill="auto"/>
            <w:vAlign w:val="center"/>
          </w:tcPr>
          <w:p w14:paraId="4C9EA366" w14:textId="48693418"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Revenue from goods sold and service provi</w:t>
            </w:r>
            <w:r w:rsidR="00BE6525" w:rsidRPr="000F4541">
              <w:rPr>
                <w:rFonts w:ascii="Arial" w:hAnsi="Arial" w:cs="Arial"/>
                <w:color w:val="010000"/>
                <w:sz w:val="20"/>
                <w:szCs w:val="20"/>
              </w:rPr>
              <w:t>sion</w:t>
            </w:r>
          </w:p>
        </w:tc>
        <w:tc>
          <w:tcPr>
            <w:tcW w:w="1522" w:type="dxa"/>
            <w:tcBorders>
              <w:top w:val="single" w:sz="4" w:space="0" w:color="000000"/>
              <w:left w:val="single" w:sz="4" w:space="0" w:color="000000"/>
            </w:tcBorders>
            <w:shd w:val="clear" w:color="auto" w:fill="auto"/>
            <w:vAlign w:val="center"/>
          </w:tcPr>
          <w:p w14:paraId="7CEF6594"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200,062,416,867</w:t>
            </w:r>
          </w:p>
        </w:tc>
        <w:tc>
          <w:tcPr>
            <w:tcW w:w="1522" w:type="dxa"/>
            <w:tcBorders>
              <w:top w:val="single" w:sz="4" w:space="0" w:color="000000"/>
              <w:left w:val="single" w:sz="4" w:space="0" w:color="000000"/>
            </w:tcBorders>
            <w:shd w:val="clear" w:color="auto" w:fill="auto"/>
            <w:vAlign w:val="center"/>
          </w:tcPr>
          <w:p w14:paraId="0718E3B1"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685,018,070,277</w:t>
            </w:r>
          </w:p>
        </w:tc>
        <w:tc>
          <w:tcPr>
            <w:tcW w:w="642" w:type="dxa"/>
            <w:tcBorders>
              <w:top w:val="single" w:sz="4" w:space="0" w:color="000000"/>
              <w:left w:val="single" w:sz="4" w:space="0" w:color="000000"/>
            </w:tcBorders>
            <w:shd w:val="clear" w:color="auto" w:fill="auto"/>
            <w:vAlign w:val="center"/>
          </w:tcPr>
          <w:p w14:paraId="60E3B9C4"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-71%</w:t>
            </w:r>
          </w:p>
        </w:tc>
        <w:tc>
          <w:tcPr>
            <w:tcW w:w="1530" w:type="dxa"/>
            <w:tcBorders>
              <w:top w:val="single" w:sz="4" w:space="0" w:color="000000"/>
              <w:left w:val="single" w:sz="4" w:space="0" w:color="000000"/>
            </w:tcBorders>
            <w:shd w:val="clear" w:color="auto" w:fill="auto"/>
            <w:vAlign w:val="center"/>
          </w:tcPr>
          <w:p w14:paraId="1B5A8473"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210,997,766,321</w:t>
            </w:r>
          </w:p>
        </w:tc>
        <w:tc>
          <w:tcPr>
            <w:tcW w:w="1530" w:type="dxa"/>
            <w:tcBorders>
              <w:top w:val="single" w:sz="4" w:space="0" w:color="000000"/>
              <w:left w:val="single" w:sz="4" w:space="0" w:color="000000"/>
            </w:tcBorders>
            <w:shd w:val="clear" w:color="auto" w:fill="auto"/>
            <w:vAlign w:val="center"/>
          </w:tcPr>
          <w:p w14:paraId="7A97E6FF"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782,603,716,800</w:t>
            </w:r>
          </w:p>
        </w:tc>
        <w:tc>
          <w:tcPr>
            <w:tcW w:w="810" w:type="dxa"/>
            <w:tcBorders>
              <w:top w:val="single" w:sz="4" w:space="0" w:color="000000"/>
              <w:left w:val="single" w:sz="4" w:space="0" w:color="000000"/>
              <w:right w:val="single" w:sz="4" w:space="0" w:color="000000"/>
            </w:tcBorders>
            <w:shd w:val="clear" w:color="auto" w:fill="auto"/>
            <w:vAlign w:val="center"/>
          </w:tcPr>
          <w:p w14:paraId="3085BFD2"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-73%</w:t>
            </w:r>
          </w:p>
        </w:tc>
      </w:tr>
      <w:tr w:rsidR="008F7DD5" w:rsidRPr="000F4541" w14:paraId="71A7B8F3" w14:textId="77777777" w:rsidTr="000F4541">
        <w:tc>
          <w:tcPr>
            <w:tcW w:w="398" w:type="dxa"/>
            <w:tcBorders>
              <w:top w:val="single" w:sz="4" w:space="0" w:color="000000"/>
              <w:left w:val="single" w:sz="4" w:space="0" w:color="000000"/>
            </w:tcBorders>
            <w:shd w:val="clear" w:color="auto" w:fill="auto"/>
            <w:vAlign w:val="center"/>
          </w:tcPr>
          <w:p w14:paraId="642A1E02"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2</w:t>
            </w:r>
          </w:p>
        </w:tc>
        <w:tc>
          <w:tcPr>
            <w:tcW w:w="1401" w:type="dxa"/>
            <w:tcBorders>
              <w:top w:val="single" w:sz="4" w:space="0" w:color="000000"/>
              <w:left w:val="single" w:sz="4" w:space="0" w:color="000000"/>
            </w:tcBorders>
            <w:shd w:val="clear" w:color="auto" w:fill="auto"/>
            <w:vAlign w:val="center"/>
          </w:tcPr>
          <w:p w14:paraId="3ECE0E37"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Deductions of revenue</w:t>
            </w:r>
          </w:p>
        </w:tc>
        <w:tc>
          <w:tcPr>
            <w:tcW w:w="1522" w:type="dxa"/>
            <w:tcBorders>
              <w:top w:val="single" w:sz="4" w:space="0" w:color="000000"/>
              <w:left w:val="single" w:sz="4" w:space="0" w:color="000000"/>
            </w:tcBorders>
            <w:shd w:val="clear" w:color="auto" w:fill="auto"/>
            <w:vAlign w:val="center"/>
          </w:tcPr>
          <w:p w14:paraId="02042582"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17,812,053,373</w:t>
            </w:r>
          </w:p>
        </w:tc>
        <w:tc>
          <w:tcPr>
            <w:tcW w:w="1522" w:type="dxa"/>
            <w:tcBorders>
              <w:top w:val="single" w:sz="4" w:space="0" w:color="000000"/>
              <w:left w:val="single" w:sz="4" w:space="0" w:color="000000"/>
            </w:tcBorders>
            <w:shd w:val="clear" w:color="auto" w:fill="auto"/>
            <w:vAlign w:val="center"/>
          </w:tcPr>
          <w:p w14:paraId="741F9150"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w:t>
            </w:r>
          </w:p>
        </w:tc>
        <w:tc>
          <w:tcPr>
            <w:tcW w:w="642" w:type="dxa"/>
            <w:tcBorders>
              <w:top w:val="single" w:sz="4" w:space="0" w:color="000000"/>
              <w:left w:val="single" w:sz="4" w:space="0" w:color="000000"/>
            </w:tcBorders>
            <w:shd w:val="clear" w:color="auto" w:fill="auto"/>
            <w:vAlign w:val="center"/>
          </w:tcPr>
          <w:p w14:paraId="7A16A6E4" w14:textId="77777777" w:rsidR="008F7DD5" w:rsidRPr="000F4541" w:rsidRDefault="008F7DD5" w:rsidP="000F4541">
            <w:pPr>
              <w:tabs>
                <w:tab w:val="left" w:pos="432"/>
              </w:tabs>
              <w:spacing w:after="120" w:line="360" w:lineRule="auto"/>
              <w:jc w:val="center"/>
              <w:rPr>
                <w:rFonts w:ascii="Arial" w:eastAsia="Arial" w:hAnsi="Arial" w:cs="Arial"/>
                <w:color w:val="010000"/>
                <w:sz w:val="20"/>
                <w:szCs w:val="20"/>
              </w:rPr>
            </w:pPr>
          </w:p>
        </w:tc>
        <w:tc>
          <w:tcPr>
            <w:tcW w:w="1530" w:type="dxa"/>
            <w:tcBorders>
              <w:top w:val="single" w:sz="4" w:space="0" w:color="000000"/>
              <w:left w:val="single" w:sz="4" w:space="0" w:color="000000"/>
            </w:tcBorders>
            <w:shd w:val="clear" w:color="auto" w:fill="auto"/>
            <w:vAlign w:val="center"/>
          </w:tcPr>
          <w:p w14:paraId="520D8146"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17,812,053,373</w:t>
            </w:r>
          </w:p>
        </w:tc>
        <w:tc>
          <w:tcPr>
            <w:tcW w:w="1530" w:type="dxa"/>
            <w:tcBorders>
              <w:top w:val="single" w:sz="4" w:space="0" w:color="000000"/>
              <w:left w:val="single" w:sz="4" w:space="0" w:color="000000"/>
            </w:tcBorders>
            <w:shd w:val="clear" w:color="auto" w:fill="auto"/>
            <w:vAlign w:val="center"/>
          </w:tcPr>
          <w:p w14:paraId="6B252B6D" w14:textId="77777777" w:rsidR="008F7DD5" w:rsidRPr="000F4541" w:rsidRDefault="008F7DD5" w:rsidP="000F4541">
            <w:pPr>
              <w:tabs>
                <w:tab w:val="left" w:pos="432"/>
              </w:tabs>
              <w:spacing w:after="120" w:line="360" w:lineRule="auto"/>
              <w:jc w:val="center"/>
              <w:rPr>
                <w:rFonts w:ascii="Arial" w:eastAsia="Arial" w:hAnsi="Arial" w:cs="Arial"/>
                <w:color w:val="010000"/>
                <w:sz w:val="20"/>
                <w:szCs w:val="20"/>
              </w:rPr>
            </w:pPr>
          </w:p>
        </w:tc>
        <w:tc>
          <w:tcPr>
            <w:tcW w:w="810" w:type="dxa"/>
            <w:tcBorders>
              <w:top w:val="single" w:sz="4" w:space="0" w:color="000000"/>
              <w:left w:val="single" w:sz="4" w:space="0" w:color="000000"/>
              <w:right w:val="single" w:sz="4" w:space="0" w:color="000000"/>
            </w:tcBorders>
            <w:shd w:val="clear" w:color="auto" w:fill="auto"/>
            <w:vAlign w:val="center"/>
          </w:tcPr>
          <w:p w14:paraId="0BFFDC01" w14:textId="77777777" w:rsidR="008F7DD5" w:rsidRPr="000F4541" w:rsidRDefault="008F7DD5" w:rsidP="000F4541">
            <w:pPr>
              <w:tabs>
                <w:tab w:val="left" w:pos="432"/>
              </w:tabs>
              <w:spacing w:after="120" w:line="360" w:lineRule="auto"/>
              <w:jc w:val="center"/>
              <w:rPr>
                <w:rFonts w:ascii="Arial" w:eastAsia="Arial" w:hAnsi="Arial" w:cs="Arial"/>
                <w:color w:val="010000"/>
                <w:sz w:val="20"/>
                <w:szCs w:val="20"/>
              </w:rPr>
            </w:pPr>
          </w:p>
        </w:tc>
      </w:tr>
      <w:tr w:rsidR="008F7DD5" w:rsidRPr="000F4541" w14:paraId="09708ECF" w14:textId="77777777" w:rsidTr="000F4541">
        <w:tc>
          <w:tcPr>
            <w:tcW w:w="398" w:type="dxa"/>
            <w:tcBorders>
              <w:top w:val="single" w:sz="4" w:space="0" w:color="000000"/>
              <w:left w:val="single" w:sz="4" w:space="0" w:color="000000"/>
            </w:tcBorders>
            <w:shd w:val="clear" w:color="auto" w:fill="auto"/>
            <w:vAlign w:val="center"/>
          </w:tcPr>
          <w:p w14:paraId="4A6F3105"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3</w:t>
            </w:r>
          </w:p>
        </w:tc>
        <w:tc>
          <w:tcPr>
            <w:tcW w:w="1401" w:type="dxa"/>
            <w:tcBorders>
              <w:top w:val="single" w:sz="4" w:space="0" w:color="000000"/>
              <w:left w:val="single" w:sz="4" w:space="0" w:color="000000"/>
            </w:tcBorders>
            <w:shd w:val="clear" w:color="auto" w:fill="auto"/>
            <w:vAlign w:val="center"/>
          </w:tcPr>
          <w:p w14:paraId="26B878A4"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Cost of goods sold</w:t>
            </w:r>
          </w:p>
        </w:tc>
        <w:tc>
          <w:tcPr>
            <w:tcW w:w="1522" w:type="dxa"/>
            <w:tcBorders>
              <w:top w:val="single" w:sz="4" w:space="0" w:color="000000"/>
              <w:left w:val="single" w:sz="4" w:space="0" w:color="000000"/>
            </w:tcBorders>
            <w:shd w:val="clear" w:color="auto" w:fill="auto"/>
            <w:vAlign w:val="center"/>
          </w:tcPr>
          <w:p w14:paraId="0DF8EDAB"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130,209,711,138</w:t>
            </w:r>
          </w:p>
        </w:tc>
        <w:tc>
          <w:tcPr>
            <w:tcW w:w="1522" w:type="dxa"/>
            <w:tcBorders>
              <w:top w:val="single" w:sz="4" w:space="0" w:color="000000"/>
              <w:left w:val="single" w:sz="4" w:space="0" w:color="000000"/>
            </w:tcBorders>
            <w:shd w:val="clear" w:color="auto" w:fill="auto"/>
            <w:vAlign w:val="center"/>
          </w:tcPr>
          <w:p w14:paraId="21C2748B"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507,285,741,885</w:t>
            </w:r>
          </w:p>
        </w:tc>
        <w:tc>
          <w:tcPr>
            <w:tcW w:w="642" w:type="dxa"/>
            <w:tcBorders>
              <w:top w:val="single" w:sz="4" w:space="0" w:color="000000"/>
              <w:left w:val="single" w:sz="4" w:space="0" w:color="000000"/>
            </w:tcBorders>
            <w:shd w:val="clear" w:color="auto" w:fill="auto"/>
            <w:vAlign w:val="center"/>
          </w:tcPr>
          <w:p w14:paraId="3BFDAD8C"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-74%</w:t>
            </w:r>
          </w:p>
        </w:tc>
        <w:tc>
          <w:tcPr>
            <w:tcW w:w="1530" w:type="dxa"/>
            <w:tcBorders>
              <w:top w:val="single" w:sz="4" w:space="0" w:color="000000"/>
              <w:left w:val="single" w:sz="4" w:space="0" w:color="000000"/>
            </w:tcBorders>
            <w:shd w:val="clear" w:color="auto" w:fill="auto"/>
            <w:vAlign w:val="center"/>
          </w:tcPr>
          <w:p w14:paraId="0DF79E6B"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136,612,796,058</w:t>
            </w:r>
          </w:p>
        </w:tc>
        <w:tc>
          <w:tcPr>
            <w:tcW w:w="1530" w:type="dxa"/>
            <w:tcBorders>
              <w:top w:val="single" w:sz="4" w:space="0" w:color="000000"/>
              <w:left w:val="single" w:sz="4" w:space="0" w:color="000000"/>
            </w:tcBorders>
            <w:shd w:val="clear" w:color="auto" w:fill="auto"/>
            <w:vAlign w:val="center"/>
          </w:tcPr>
          <w:p w14:paraId="6F851814"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573,442,545,335</w:t>
            </w:r>
          </w:p>
        </w:tc>
        <w:tc>
          <w:tcPr>
            <w:tcW w:w="810" w:type="dxa"/>
            <w:tcBorders>
              <w:top w:val="single" w:sz="4" w:space="0" w:color="000000"/>
              <w:left w:val="single" w:sz="4" w:space="0" w:color="000000"/>
              <w:right w:val="single" w:sz="4" w:space="0" w:color="000000"/>
            </w:tcBorders>
            <w:shd w:val="clear" w:color="auto" w:fill="auto"/>
            <w:vAlign w:val="center"/>
          </w:tcPr>
          <w:p w14:paraId="5FF9B3B8"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-76%</w:t>
            </w:r>
          </w:p>
        </w:tc>
      </w:tr>
      <w:tr w:rsidR="008F7DD5" w:rsidRPr="000F4541" w14:paraId="0717630A" w14:textId="77777777" w:rsidTr="000F4541">
        <w:tc>
          <w:tcPr>
            <w:tcW w:w="398" w:type="dxa"/>
            <w:tcBorders>
              <w:top w:val="single" w:sz="4" w:space="0" w:color="000000"/>
              <w:left w:val="single" w:sz="4" w:space="0" w:color="000000"/>
            </w:tcBorders>
            <w:shd w:val="clear" w:color="auto" w:fill="auto"/>
            <w:vAlign w:val="center"/>
          </w:tcPr>
          <w:p w14:paraId="3E23636E"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4</w:t>
            </w:r>
          </w:p>
        </w:tc>
        <w:tc>
          <w:tcPr>
            <w:tcW w:w="1401" w:type="dxa"/>
            <w:tcBorders>
              <w:top w:val="single" w:sz="4" w:space="0" w:color="000000"/>
              <w:left w:val="single" w:sz="4" w:space="0" w:color="000000"/>
            </w:tcBorders>
            <w:shd w:val="clear" w:color="auto" w:fill="auto"/>
            <w:vAlign w:val="center"/>
          </w:tcPr>
          <w:p w14:paraId="6EAA50B2"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Financial revenue</w:t>
            </w:r>
          </w:p>
        </w:tc>
        <w:tc>
          <w:tcPr>
            <w:tcW w:w="1522" w:type="dxa"/>
            <w:tcBorders>
              <w:top w:val="single" w:sz="4" w:space="0" w:color="000000"/>
              <w:left w:val="single" w:sz="4" w:space="0" w:color="000000"/>
            </w:tcBorders>
            <w:shd w:val="clear" w:color="auto" w:fill="auto"/>
            <w:vAlign w:val="center"/>
          </w:tcPr>
          <w:p w14:paraId="16E69F6C"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26,073,957,620</w:t>
            </w:r>
          </w:p>
        </w:tc>
        <w:tc>
          <w:tcPr>
            <w:tcW w:w="1522" w:type="dxa"/>
            <w:tcBorders>
              <w:top w:val="single" w:sz="4" w:space="0" w:color="000000"/>
              <w:left w:val="single" w:sz="4" w:space="0" w:color="000000"/>
            </w:tcBorders>
            <w:shd w:val="clear" w:color="auto" w:fill="auto"/>
            <w:vAlign w:val="center"/>
          </w:tcPr>
          <w:p w14:paraId="287EB54C"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61,514,549,592</w:t>
            </w:r>
          </w:p>
        </w:tc>
        <w:tc>
          <w:tcPr>
            <w:tcW w:w="642" w:type="dxa"/>
            <w:tcBorders>
              <w:top w:val="single" w:sz="4" w:space="0" w:color="000000"/>
              <w:left w:val="single" w:sz="4" w:space="0" w:color="000000"/>
            </w:tcBorders>
            <w:shd w:val="clear" w:color="auto" w:fill="auto"/>
            <w:vAlign w:val="center"/>
          </w:tcPr>
          <w:p w14:paraId="1FFDEDE4"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-58%</w:t>
            </w:r>
          </w:p>
        </w:tc>
        <w:tc>
          <w:tcPr>
            <w:tcW w:w="1530" w:type="dxa"/>
            <w:tcBorders>
              <w:top w:val="single" w:sz="4" w:space="0" w:color="000000"/>
              <w:left w:val="single" w:sz="4" w:space="0" w:color="000000"/>
            </w:tcBorders>
            <w:shd w:val="clear" w:color="auto" w:fill="auto"/>
            <w:vAlign w:val="center"/>
          </w:tcPr>
          <w:p w14:paraId="6B9C1007"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49,206,287,821</w:t>
            </w:r>
          </w:p>
        </w:tc>
        <w:tc>
          <w:tcPr>
            <w:tcW w:w="1530" w:type="dxa"/>
            <w:tcBorders>
              <w:top w:val="single" w:sz="4" w:space="0" w:color="000000"/>
              <w:left w:val="single" w:sz="4" w:space="0" w:color="000000"/>
            </w:tcBorders>
            <w:shd w:val="clear" w:color="auto" w:fill="auto"/>
            <w:vAlign w:val="center"/>
          </w:tcPr>
          <w:p w14:paraId="5D1FD254"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114,360,629,989</w:t>
            </w:r>
          </w:p>
        </w:tc>
        <w:tc>
          <w:tcPr>
            <w:tcW w:w="810" w:type="dxa"/>
            <w:tcBorders>
              <w:top w:val="single" w:sz="4" w:space="0" w:color="000000"/>
              <w:left w:val="single" w:sz="4" w:space="0" w:color="000000"/>
              <w:right w:val="single" w:sz="4" w:space="0" w:color="000000"/>
            </w:tcBorders>
            <w:shd w:val="clear" w:color="auto" w:fill="auto"/>
            <w:vAlign w:val="center"/>
          </w:tcPr>
          <w:p w14:paraId="28D4CF09"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-57%</w:t>
            </w:r>
          </w:p>
        </w:tc>
      </w:tr>
      <w:tr w:rsidR="008F7DD5" w:rsidRPr="000F4541" w14:paraId="7F2C10DA" w14:textId="77777777" w:rsidTr="000F4541">
        <w:tc>
          <w:tcPr>
            <w:tcW w:w="398" w:type="dxa"/>
            <w:tcBorders>
              <w:top w:val="single" w:sz="4" w:space="0" w:color="000000"/>
              <w:left w:val="single" w:sz="4" w:space="0" w:color="000000"/>
            </w:tcBorders>
            <w:shd w:val="clear" w:color="auto" w:fill="auto"/>
            <w:vAlign w:val="center"/>
          </w:tcPr>
          <w:p w14:paraId="273F3726"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5</w:t>
            </w:r>
          </w:p>
        </w:tc>
        <w:tc>
          <w:tcPr>
            <w:tcW w:w="1401" w:type="dxa"/>
            <w:tcBorders>
              <w:top w:val="single" w:sz="4" w:space="0" w:color="000000"/>
              <w:left w:val="single" w:sz="4" w:space="0" w:color="000000"/>
            </w:tcBorders>
            <w:shd w:val="clear" w:color="auto" w:fill="auto"/>
            <w:vAlign w:val="center"/>
          </w:tcPr>
          <w:p w14:paraId="3F336F57"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Financial expense</w:t>
            </w:r>
          </w:p>
        </w:tc>
        <w:tc>
          <w:tcPr>
            <w:tcW w:w="1522" w:type="dxa"/>
            <w:tcBorders>
              <w:top w:val="single" w:sz="4" w:space="0" w:color="000000"/>
              <w:left w:val="single" w:sz="4" w:space="0" w:color="000000"/>
            </w:tcBorders>
            <w:shd w:val="clear" w:color="auto" w:fill="auto"/>
            <w:vAlign w:val="center"/>
          </w:tcPr>
          <w:p w14:paraId="334341D6"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63,578,625,194</w:t>
            </w:r>
          </w:p>
        </w:tc>
        <w:tc>
          <w:tcPr>
            <w:tcW w:w="1522" w:type="dxa"/>
            <w:tcBorders>
              <w:top w:val="single" w:sz="4" w:space="0" w:color="000000"/>
              <w:left w:val="single" w:sz="4" w:space="0" w:color="000000"/>
            </w:tcBorders>
            <w:shd w:val="clear" w:color="auto" w:fill="auto"/>
            <w:vAlign w:val="center"/>
          </w:tcPr>
          <w:p w14:paraId="3641716E"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38,911,524,167</w:t>
            </w:r>
          </w:p>
        </w:tc>
        <w:tc>
          <w:tcPr>
            <w:tcW w:w="642" w:type="dxa"/>
            <w:tcBorders>
              <w:top w:val="single" w:sz="4" w:space="0" w:color="000000"/>
              <w:left w:val="single" w:sz="4" w:space="0" w:color="000000"/>
            </w:tcBorders>
            <w:shd w:val="clear" w:color="auto" w:fill="auto"/>
            <w:vAlign w:val="center"/>
          </w:tcPr>
          <w:p w14:paraId="07A955C4"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63%</w:t>
            </w:r>
          </w:p>
        </w:tc>
        <w:tc>
          <w:tcPr>
            <w:tcW w:w="1530" w:type="dxa"/>
            <w:tcBorders>
              <w:top w:val="single" w:sz="4" w:space="0" w:color="000000"/>
              <w:left w:val="single" w:sz="4" w:space="0" w:color="000000"/>
            </w:tcBorders>
            <w:shd w:val="clear" w:color="auto" w:fill="auto"/>
            <w:vAlign w:val="center"/>
          </w:tcPr>
          <w:p w14:paraId="064BFAA7"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80,986,752,598</w:t>
            </w:r>
          </w:p>
        </w:tc>
        <w:tc>
          <w:tcPr>
            <w:tcW w:w="1530" w:type="dxa"/>
            <w:tcBorders>
              <w:top w:val="single" w:sz="4" w:space="0" w:color="000000"/>
              <w:left w:val="single" w:sz="4" w:space="0" w:color="000000"/>
            </w:tcBorders>
            <w:shd w:val="clear" w:color="auto" w:fill="auto"/>
            <w:vAlign w:val="center"/>
          </w:tcPr>
          <w:p w14:paraId="2BDB7FDB"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59,414,654,337</w:t>
            </w:r>
          </w:p>
        </w:tc>
        <w:tc>
          <w:tcPr>
            <w:tcW w:w="810" w:type="dxa"/>
            <w:tcBorders>
              <w:top w:val="single" w:sz="4" w:space="0" w:color="000000"/>
              <w:left w:val="single" w:sz="4" w:space="0" w:color="000000"/>
              <w:right w:val="single" w:sz="4" w:space="0" w:color="000000"/>
            </w:tcBorders>
            <w:shd w:val="clear" w:color="auto" w:fill="auto"/>
            <w:vAlign w:val="center"/>
          </w:tcPr>
          <w:p w14:paraId="1EC4CE53"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36%</w:t>
            </w:r>
          </w:p>
        </w:tc>
      </w:tr>
      <w:tr w:rsidR="008F7DD5" w:rsidRPr="000F4541" w14:paraId="2144430A" w14:textId="77777777" w:rsidTr="000F4541">
        <w:tc>
          <w:tcPr>
            <w:tcW w:w="398" w:type="dxa"/>
            <w:tcBorders>
              <w:top w:val="single" w:sz="4" w:space="0" w:color="000000"/>
              <w:left w:val="single" w:sz="4" w:space="0" w:color="000000"/>
            </w:tcBorders>
            <w:shd w:val="clear" w:color="auto" w:fill="auto"/>
            <w:vAlign w:val="center"/>
          </w:tcPr>
          <w:p w14:paraId="588F7F11"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6</w:t>
            </w:r>
          </w:p>
        </w:tc>
        <w:tc>
          <w:tcPr>
            <w:tcW w:w="1401" w:type="dxa"/>
            <w:tcBorders>
              <w:top w:val="single" w:sz="4" w:space="0" w:color="000000"/>
              <w:left w:val="single" w:sz="4" w:space="0" w:color="000000"/>
            </w:tcBorders>
            <w:shd w:val="clear" w:color="auto" w:fill="auto"/>
            <w:vAlign w:val="center"/>
          </w:tcPr>
          <w:p w14:paraId="140AA364"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Selling expense</w:t>
            </w:r>
          </w:p>
        </w:tc>
        <w:tc>
          <w:tcPr>
            <w:tcW w:w="1522" w:type="dxa"/>
            <w:tcBorders>
              <w:top w:val="single" w:sz="4" w:space="0" w:color="000000"/>
              <w:left w:val="single" w:sz="4" w:space="0" w:color="000000"/>
            </w:tcBorders>
            <w:shd w:val="clear" w:color="auto" w:fill="auto"/>
            <w:vAlign w:val="center"/>
          </w:tcPr>
          <w:p w14:paraId="772B0299"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23,745,196,692</w:t>
            </w:r>
          </w:p>
        </w:tc>
        <w:tc>
          <w:tcPr>
            <w:tcW w:w="1522" w:type="dxa"/>
            <w:tcBorders>
              <w:top w:val="single" w:sz="4" w:space="0" w:color="000000"/>
              <w:left w:val="single" w:sz="4" w:space="0" w:color="000000"/>
            </w:tcBorders>
            <w:shd w:val="clear" w:color="auto" w:fill="auto"/>
            <w:vAlign w:val="center"/>
          </w:tcPr>
          <w:p w14:paraId="480FAE87"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50,081,419,166</w:t>
            </w:r>
          </w:p>
        </w:tc>
        <w:tc>
          <w:tcPr>
            <w:tcW w:w="642" w:type="dxa"/>
            <w:tcBorders>
              <w:top w:val="single" w:sz="4" w:space="0" w:color="000000"/>
              <w:left w:val="single" w:sz="4" w:space="0" w:color="000000"/>
            </w:tcBorders>
            <w:shd w:val="clear" w:color="auto" w:fill="auto"/>
            <w:vAlign w:val="center"/>
          </w:tcPr>
          <w:p w14:paraId="1CA75021"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-53%</w:t>
            </w:r>
          </w:p>
        </w:tc>
        <w:tc>
          <w:tcPr>
            <w:tcW w:w="1530" w:type="dxa"/>
            <w:tcBorders>
              <w:top w:val="single" w:sz="4" w:space="0" w:color="000000"/>
              <w:left w:val="single" w:sz="4" w:space="0" w:color="000000"/>
            </w:tcBorders>
            <w:shd w:val="clear" w:color="auto" w:fill="auto"/>
            <w:vAlign w:val="center"/>
          </w:tcPr>
          <w:p w14:paraId="59B9C8B8"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23,750,196,692</w:t>
            </w:r>
          </w:p>
        </w:tc>
        <w:tc>
          <w:tcPr>
            <w:tcW w:w="1530" w:type="dxa"/>
            <w:tcBorders>
              <w:top w:val="single" w:sz="4" w:space="0" w:color="000000"/>
              <w:left w:val="single" w:sz="4" w:space="0" w:color="000000"/>
            </w:tcBorders>
            <w:shd w:val="clear" w:color="auto" w:fill="auto"/>
            <w:vAlign w:val="center"/>
          </w:tcPr>
          <w:p w14:paraId="475626AA"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54,672,153,268</w:t>
            </w:r>
          </w:p>
        </w:tc>
        <w:tc>
          <w:tcPr>
            <w:tcW w:w="810" w:type="dxa"/>
            <w:tcBorders>
              <w:top w:val="single" w:sz="4" w:space="0" w:color="000000"/>
              <w:left w:val="single" w:sz="4" w:space="0" w:color="000000"/>
              <w:right w:val="single" w:sz="4" w:space="0" w:color="000000"/>
            </w:tcBorders>
            <w:shd w:val="clear" w:color="auto" w:fill="auto"/>
            <w:vAlign w:val="center"/>
          </w:tcPr>
          <w:p w14:paraId="4F163035"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-57%</w:t>
            </w:r>
          </w:p>
        </w:tc>
      </w:tr>
      <w:tr w:rsidR="008F7DD5" w:rsidRPr="000F4541" w14:paraId="04EA2D4F" w14:textId="77777777" w:rsidTr="000F4541">
        <w:tc>
          <w:tcPr>
            <w:tcW w:w="398" w:type="dxa"/>
            <w:tcBorders>
              <w:top w:val="single" w:sz="4" w:space="0" w:color="000000"/>
              <w:left w:val="single" w:sz="4" w:space="0" w:color="000000"/>
            </w:tcBorders>
            <w:shd w:val="clear" w:color="auto" w:fill="auto"/>
            <w:vAlign w:val="center"/>
          </w:tcPr>
          <w:p w14:paraId="52CC8BAE"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7</w:t>
            </w:r>
          </w:p>
        </w:tc>
        <w:tc>
          <w:tcPr>
            <w:tcW w:w="1401" w:type="dxa"/>
            <w:tcBorders>
              <w:top w:val="single" w:sz="4" w:space="0" w:color="000000"/>
              <w:left w:val="single" w:sz="4" w:space="0" w:color="000000"/>
            </w:tcBorders>
            <w:shd w:val="clear" w:color="auto" w:fill="auto"/>
            <w:vAlign w:val="center"/>
          </w:tcPr>
          <w:p w14:paraId="0C178322"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General and administrative expense</w:t>
            </w:r>
          </w:p>
        </w:tc>
        <w:tc>
          <w:tcPr>
            <w:tcW w:w="1522" w:type="dxa"/>
            <w:tcBorders>
              <w:top w:val="single" w:sz="4" w:space="0" w:color="000000"/>
              <w:left w:val="single" w:sz="4" w:space="0" w:color="000000"/>
            </w:tcBorders>
            <w:shd w:val="clear" w:color="auto" w:fill="auto"/>
            <w:vAlign w:val="center"/>
          </w:tcPr>
          <w:p w14:paraId="7D0E588F"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34,322,091,879</w:t>
            </w:r>
          </w:p>
        </w:tc>
        <w:tc>
          <w:tcPr>
            <w:tcW w:w="1522" w:type="dxa"/>
            <w:tcBorders>
              <w:top w:val="single" w:sz="4" w:space="0" w:color="000000"/>
              <w:left w:val="single" w:sz="4" w:space="0" w:color="000000"/>
            </w:tcBorders>
            <w:shd w:val="clear" w:color="auto" w:fill="auto"/>
            <w:vAlign w:val="center"/>
          </w:tcPr>
          <w:p w14:paraId="2A686268"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40,767,511,688</w:t>
            </w:r>
          </w:p>
        </w:tc>
        <w:tc>
          <w:tcPr>
            <w:tcW w:w="642" w:type="dxa"/>
            <w:tcBorders>
              <w:top w:val="single" w:sz="4" w:space="0" w:color="000000"/>
              <w:left w:val="single" w:sz="4" w:space="0" w:color="000000"/>
            </w:tcBorders>
            <w:shd w:val="clear" w:color="auto" w:fill="auto"/>
            <w:vAlign w:val="center"/>
          </w:tcPr>
          <w:p w14:paraId="0193FE63"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-16%</w:t>
            </w:r>
          </w:p>
        </w:tc>
        <w:tc>
          <w:tcPr>
            <w:tcW w:w="1530" w:type="dxa"/>
            <w:tcBorders>
              <w:top w:val="single" w:sz="4" w:space="0" w:color="000000"/>
              <w:left w:val="single" w:sz="4" w:space="0" w:color="000000"/>
            </w:tcBorders>
            <w:shd w:val="clear" w:color="auto" w:fill="auto"/>
            <w:vAlign w:val="center"/>
          </w:tcPr>
          <w:p w14:paraId="2592BDD6"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42,436,567,312</w:t>
            </w:r>
          </w:p>
        </w:tc>
        <w:tc>
          <w:tcPr>
            <w:tcW w:w="1530" w:type="dxa"/>
            <w:tcBorders>
              <w:top w:val="single" w:sz="4" w:space="0" w:color="000000"/>
              <w:left w:val="single" w:sz="4" w:space="0" w:color="000000"/>
            </w:tcBorders>
            <w:shd w:val="clear" w:color="auto" w:fill="auto"/>
            <w:vAlign w:val="center"/>
          </w:tcPr>
          <w:p w14:paraId="0989721E"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56,817,374,590</w:t>
            </w:r>
          </w:p>
        </w:tc>
        <w:tc>
          <w:tcPr>
            <w:tcW w:w="810" w:type="dxa"/>
            <w:tcBorders>
              <w:top w:val="single" w:sz="4" w:space="0" w:color="000000"/>
              <w:left w:val="single" w:sz="4" w:space="0" w:color="000000"/>
              <w:right w:val="single" w:sz="4" w:space="0" w:color="000000"/>
            </w:tcBorders>
            <w:shd w:val="clear" w:color="auto" w:fill="auto"/>
            <w:vAlign w:val="center"/>
          </w:tcPr>
          <w:p w14:paraId="78EBB0CA"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-25%</w:t>
            </w:r>
          </w:p>
        </w:tc>
      </w:tr>
      <w:tr w:rsidR="008F7DD5" w:rsidRPr="000F4541" w14:paraId="3ACF6810" w14:textId="77777777" w:rsidTr="000F4541">
        <w:tc>
          <w:tcPr>
            <w:tcW w:w="398" w:type="dxa"/>
            <w:tcBorders>
              <w:top w:val="single" w:sz="4" w:space="0" w:color="000000"/>
              <w:left w:val="single" w:sz="4" w:space="0" w:color="000000"/>
            </w:tcBorders>
            <w:shd w:val="clear" w:color="auto" w:fill="auto"/>
            <w:vAlign w:val="center"/>
          </w:tcPr>
          <w:p w14:paraId="26D8EB92"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8</w:t>
            </w:r>
          </w:p>
        </w:tc>
        <w:tc>
          <w:tcPr>
            <w:tcW w:w="1401" w:type="dxa"/>
            <w:tcBorders>
              <w:top w:val="single" w:sz="4" w:space="0" w:color="000000"/>
              <w:left w:val="single" w:sz="4" w:space="0" w:color="000000"/>
            </w:tcBorders>
            <w:shd w:val="clear" w:color="auto" w:fill="auto"/>
            <w:vAlign w:val="center"/>
          </w:tcPr>
          <w:p w14:paraId="6AD1F888"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Net profit from business activities</w:t>
            </w:r>
          </w:p>
        </w:tc>
        <w:tc>
          <w:tcPr>
            <w:tcW w:w="1522" w:type="dxa"/>
            <w:tcBorders>
              <w:top w:val="single" w:sz="4" w:space="0" w:color="000000"/>
              <w:left w:val="single" w:sz="4" w:space="0" w:color="000000"/>
            </w:tcBorders>
            <w:shd w:val="clear" w:color="auto" w:fill="auto"/>
            <w:vAlign w:val="center"/>
          </w:tcPr>
          <w:p w14:paraId="143877F7"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- 43,531,303,789</w:t>
            </w:r>
          </w:p>
        </w:tc>
        <w:tc>
          <w:tcPr>
            <w:tcW w:w="1522" w:type="dxa"/>
            <w:tcBorders>
              <w:top w:val="single" w:sz="4" w:space="0" w:color="000000"/>
              <w:left w:val="single" w:sz="4" w:space="0" w:color="000000"/>
            </w:tcBorders>
            <w:shd w:val="clear" w:color="auto" w:fill="auto"/>
            <w:vAlign w:val="center"/>
          </w:tcPr>
          <w:p w14:paraId="555EEA43"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109,486,422,963</w:t>
            </w:r>
          </w:p>
        </w:tc>
        <w:tc>
          <w:tcPr>
            <w:tcW w:w="642" w:type="dxa"/>
            <w:tcBorders>
              <w:top w:val="single" w:sz="4" w:space="0" w:color="000000"/>
              <w:left w:val="single" w:sz="4" w:space="0" w:color="000000"/>
            </w:tcBorders>
            <w:shd w:val="clear" w:color="auto" w:fill="auto"/>
            <w:vAlign w:val="center"/>
          </w:tcPr>
          <w:p w14:paraId="354DFAA3"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-140%</w:t>
            </w:r>
          </w:p>
        </w:tc>
        <w:tc>
          <w:tcPr>
            <w:tcW w:w="1530" w:type="dxa"/>
            <w:tcBorders>
              <w:top w:val="single" w:sz="4" w:space="0" w:color="000000"/>
              <w:left w:val="single" w:sz="4" w:space="0" w:color="000000"/>
            </w:tcBorders>
            <w:shd w:val="clear" w:color="auto" w:fill="auto"/>
            <w:vAlign w:val="center"/>
          </w:tcPr>
          <w:p w14:paraId="0B950115"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- 40,906,446,873</w:t>
            </w:r>
          </w:p>
        </w:tc>
        <w:tc>
          <w:tcPr>
            <w:tcW w:w="1530" w:type="dxa"/>
            <w:tcBorders>
              <w:top w:val="single" w:sz="4" w:space="0" w:color="000000"/>
              <w:left w:val="single" w:sz="4" w:space="0" w:color="000000"/>
            </w:tcBorders>
            <w:shd w:val="clear" w:color="auto" w:fill="auto"/>
            <w:vAlign w:val="center"/>
          </w:tcPr>
          <w:p w14:paraId="6E572924"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152,470,410,244</w:t>
            </w:r>
          </w:p>
        </w:tc>
        <w:tc>
          <w:tcPr>
            <w:tcW w:w="810" w:type="dxa"/>
            <w:tcBorders>
              <w:top w:val="single" w:sz="4" w:space="0" w:color="000000"/>
              <w:left w:val="single" w:sz="4" w:space="0" w:color="000000"/>
              <w:right w:val="single" w:sz="4" w:space="0" w:color="000000"/>
            </w:tcBorders>
            <w:shd w:val="clear" w:color="auto" w:fill="auto"/>
            <w:vAlign w:val="center"/>
          </w:tcPr>
          <w:p w14:paraId="20D231DB"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-127%</w:t>
            </w:r>
          </w:p>
        </w:tc>
      </w:tr>
      <w:tr w:rsidR="008F7DD5" w:rsidRPr="000F4541" w14:paraId="3A9E9A4E" w14:textId="77777777" w:rsidTr="000F4541">
        <w:tc>
          <w:tcPr>
            <w:tcW w:w="398" w:type="dxa"/>
            <w:tcBorders>
              <w:top w:val="single" w:sz="4" w:space="0" w:color="000000"/>
              <w:left w:val="single" w:sz="4" w:space="0" w:color="000000"/>
            </w:tcBorders>
            <w:shd w:val="clear" w:color="auto" w:fill="auto"/>
            <w:vAlign w:val="center"/>
          </w:tcPr>
          <w:p w14:paraId="41D80EEB"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9</w:t>
            </w:r>
          </w:p>
        </w:tc>
        <w:tc>
          <w:tcPr>
            <w:tcW w:w="1401" w:type="dxa"/>
            <w:tcBorders>
              <w:top w:val="single" w:sz="4" w:space="0" w:color="000000"/>
              <w:left w:val="single" w:sz="4" w:space="0" w:color="000000"/>
            </w:tcBorders>
            <w:shd w:val="clear" w:color="auto" w:fill="auto"/>
            <w:vAlign w:val="center"/>
          </w:tcPr>
          <w:p w14:paraId="18C136CC"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Other profits</w:t>
            </w:r>
          </w:p>
        </w:tc>
        <w:tc>
          <w:tcPr>
            <w:tcW w:w="1522" w:type="dxa"/>
            <w:tcBorders>
              <w:top w:val="single" w:sz="4" w:space="0" w:color="000000"/>
              <w:left w:val="single" w:sz="4" w:space="0" w:color="000000"/>
            </w:tcBorders>
            <w:shd w:val="clear" w:color="auto" w:fill="auto"/>
            <w:vAlign w:val="center"/>
          </w:tcPr>
          <w:p w14:paraId="475FF964"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- 4,655,808,772</w:t>
            </w:r>
          </w:p>
        </w:tc>
        <w:tc>
          <w:tcPr>
            <w:tcW w:w="1522" w:type="dxa"/>
            <w:tcBorders>
              <w:top w:val="single" w:sz="4" w:space="0" w:color="000000"/>
              <w:left w:val="single" w:sz="4" w:space="0" w:color="000000"/>
            </w:tcBorders>
            <w:shd w:val="clear" w:color="auto" w:fill="auto"/>
            <w:vAlign w:val="center"/>
          </w:tcPr>
          <w:p w14:paraId="47EF3D88"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8,274,</w:t>
            </w:r>
            <w:bookmarkStart w:id="1" w:name="_GoBack"/>
            <w:bookmarkEnd w:id="1"/>
            <w:r w:rsidRPr="000F4541">
              <w:rPr>
                <w:rFonts w:ascii="Arial" w:hAnsi="Arial" w:cs="Arial"/>
                <w:color w:val="010000"/>
                <w:sz w:val="20"/>
                <w:szCs w:val="20"/>
              </w:rPr>
              <w:t>062,250</w:t>
            </w:r>
          </w:p>
        </w:tc>
        <w:tc>
          <w:tcPr>
            <w:tcW w:w="642" w:type="dxa"/>
            <w:tcBorders>
              <w:top w:val="single" w:sz="4" w:space="0" w:color="000000"/>
              <w:left w:val="single" w:sz="4" w:space="0" w:color="000000"/>
            </w:tcBorders>
            <w:shd w:val="clear" w:color="auto" w:fill="auto"/>
            <w:vAlign w:val="center"/>
          </w:tcPr>
          <w:p w14:paraId="401859D5"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-156%</w:t>
            </w:r>
          </w:p>
        </w:tc>
        <w:tc>
          <w:tcPr>
            <w:tcW w:w="1530" w:type="dxa"/>
            <w:tcBorders>
              <w:top w:val="single" w:sz="4" w:space="0" w:color="000000"/>
              <w:left w:val="single" w:sz="4" w:space="0" w:color="000000"/>
            </w:tcBorders>
            <w:shd w:val="clear" w:color="auto" w:fill="auto"/>
            <w:vAlign w:val="center"/>
          </w:tcPr>
          <w:p w14:paraId="013B088A"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4,849,045,907</w:t>
            </w:r>
          </w:p>
        </w:tc>
        <w:tc>
          <w:tcPr>
            <w:tcW w:w="1530" w:type="dxa"/>
            <w:tcBorders>
              <w:top w:val="single" w:sz="4" w:space="0" w:color="000000"/>
              <w:left w:val="single" w:sz="4" w:space="0" w:color="000000"/>
            </w:tcBorders>
            <w:shd w:val="clear" w:color="auto" w:fill="auto"/>
            <w:vAlign w:val="center"/>
          </w:tcPr>
          <w:p w14:paraId="50C34689"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- 14,993,905,594</w:t>
            </w:r>
          </w:p>
        </w:tc>
        <w:tc>
          <w:tcPr>
            <w:tcW w:w="810" w:type="dxa"/>
            <w:tcBorders>
              <w:top w:val="single" w:sz="4" w:space="0" w:color="000000"/>
              <w:left w:val="single" w:sz="4" w:space="0" w:color="000000"/>
              <w:right w:val="single" w:sz="4" w:space="0" w:color="000000"/>
            </w:tcBorders>
            <w:shd w:val="clear" w:color="auto" w:fill="auto"/>
            <w:vAlign w:val="center"/>
          </w:tcPr>
          <w:p w14:paraId="6E75DCA5"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-68%</w:t>
            </w:r>
          </w:p>
        </w:tc>
      </w:tr>
      <w:tr w:rsidR="008F7DD5" w:rsidRPr="000F4541" w14:paraId="008BAE0A" w14:textId="77777777" w:rsidTr="000F4541">
        <w:tc>
          <w:tcPr>
            <w:tcW w:w="398" w:type="dxa"/>
            <w:tcBorders>
              <w:top w:val="single" w:sz="4" w:space="0" w:color="000000"/>
              <w:left w:val="single" w:sz="4" w:space="0" w:color="000000"/>
            </w:tcBorders>
            <w:shd w:val="clear" w:color="auto" w:fill="auto"/>
            <w:vAlign w:val="center"/>
          </w:tcPr>
          <w:p w14:paraId="71927F9E"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10</w:t>
            </w:r>
          </w:p>
        </w:tc>
        <w:tc>
          <w:tcPr>
            <w:tcW w:w="1401" w:type="dxa"/>
            <w:tcBorders>
              <w:top w:val="single" w:sz="4" w:space="0" w:color="000000"/>
              <w:left w:val="single" w:sz="4" w:space="0" w:color="000000"/>
            </w:tcBorders>
            <w:shd w:val="clear" w:color="auto" w:fill="auto"/>
            <w:vAlign w:val="center"/>
          </w:tcPr>
          <w:p w14:paraId="1C36D613"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Profit before tax</w:t>
            </w:r>
          </w:p>
        </w:tc>
        <w:tc>
          <w:tcPr>
            <w:tcW w:w="1522" w:type="dxa"/>
            <w:tcBorders>
              <w:top w:val="single" w:sz="4" w:space="0" w:color="000000"/>
              <w:left w:val="single" w:sz="4" w:space="0" w:color="000000"/>
            </w:tcBorders>
            <w:shd w:val="clear" w:color="auto" w:fill="auto"/>
            <w:vAlign w:val="center"/>
          </w:tcPr>
          <w:p w14:paraId="7EBF4C2C"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- 48,187,112,561</w:t>
            </w:r>
          </w:p>
        </w:tc>
        <w:tc>
          <w:tcPr>
            <w:tcW w:w="1522" w:type="dxa"/>
            <w:tcBorders>
              <w:top w:val="single" w:sz="4" w:space="0" w:color="000000"/>
              <w:left w:val="single" w:sz="4" w:space="0" w:color="000000"/>
            </w:tcBorders>
            <w:shd w:val="clear" w:color="auto" w:fill="auto"/>
            <w:vAlign w:val="center"/>
          </w:tcPr>
          <w:p w14:paraId="0BDA39CF"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117,760,485,213</w:t>
            </w:r>
          </w:p>
        </w:tc>
        <w:tc>
          <w:tcPr>
            <w:tcW w:w="642" w:type="dxa"/>
            <w:tcBorders>
              <w:top w:val="single" w:sz="4" w:space="0" w:color="000000"/>
              <w:left w:val="single" w:sz="4" w:space="0" w:color="000000"/>
            </w:tcBorders>
            <w:shd w:val="clear" w:color="auto" w:fill="auto"/>
            <w:vAlign w:val="center"/>
          </w:tcPr>
          <w:p w14:paraId="4DE87D8F"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-141%</w:t>
            </w:r>
          </w:p>
        </w:tc>
        <w:tc>
          <w:tcPr>
            <w:tcW w:w="1530" w:type="dxa"/>
            <w:tcBorders>
              <w:top w:val="single" w:sz="4" w:space="0" w:color="000000"/>
              <w:left w:val="single" w:sz="4" w:space="0" w:color="000000"/>
            </w:tcBorders>
            <w:shd w:val="clear" w:color="auto" w:fill="auto"/>
            <w:vAlign w:val="center"/>
          </w:tcPr>
          <w:p w14:paraId="6B25BC1A"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- 45,755,492,780</w:t>
            </w:r>
          </w:p>
        </w:tc>
        <w:tc>
          <w:tcPr>
            <w:tcW w:w="1530" w:type="dxa"/>
            <w:tcBorders>
              <w:top w:val="single" w:sz="4" w:space="0" w:color="000000"/>
              <w:left w:val="single" w:sz="4" w:space="0" w:color="000000"/>
            </w:tcBorders>
            <w:shd w:val="clear" w:color="auto" w:fill="auto"/>
            <w:vAlign w:val="center"/>
          </w:tcPr>
          <w:p w14:paraId="21AE1387"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137,476,504,650</w:t>
            </w:r>
          </w:p>
        </w:tc>
        <w:tc>
          <w:tcPr>
            <w:tcW w:w="810" w:type="dxa"/>
            <w:tcBorders>
              <w:top w:val="single" w:sz="4" w:space="0" w:color="000000"/>
              <w:left w:val="single" w:sz="4" w:space="0" w:color="000000"/>
              <w:right w:val="single" w:sz="4" w:space="0" w:color="000000"/>
            </w:tcBorders>
            <w:shd w:val="clear" w:color="auto" w:fill="auto"/>
            <w:vAlign w:val="center"/>
          </w:tcPr>
          <w:p w14:paraId="2E2FF30B"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-133%</w:t>
            </w:r>
          </w:p>
        </w:tc>
      </w:tr>
      <w:tr w:rsidR="008F7DD5" w:rsidRPr="000F4541" w14:paraId="5984EB44" w14:textId="77777777" w:rsidTr="000F4541">
        <w:tc>
          <w:tcPr>
            <w:tcW w:w="398" w:type="dxa"/>
            <w:tcBorders>
              <w:top w:val="single" w:sz="4" w:space="0" w:color="000000"/>
              <w:left w:val="single" w:sz="4" w:space="0" w:color="000000"/>
              <w:bottom w:val="single" w:sz="4" w:space="0" w:color="000000"/>
            </w:tcBorders>
            <w:shd w:val="clear" w:color="auto" w:fill="auto"/>
            <w:vAlign w:val="center"/>
          </w:tcPr>
          <w:p w14:paraId="09A05C39"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11</w:t>
            </w:r>
          </w:p>
        </w:tc>
        <w:tc>
          <w:tcPr>
            <w:tcW w:w="1401" w:type="dxa"/>
            <w:tcBorders>
              <w:top w:val="single" w:sz="4" w:space="0" w:color="000000"/>
              <w:left w:val="single" w:sz="4" w:space="0" w:color="000000"/>
              <w:bottom w:val="single" w:sz="4" w:space="0" w:color="000000"/>
            </w:tcBorders>
            <w:shd w:val="clear" w:color="auto" w:fill="auto"/>
            <w:vAlign w:val="center"/>
          </w:tcPr>
          <w:p w14:paraId="67FEBF16"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Profit after tax</w:t>
            </w:r>
          </w:p>
        </w:tc>
        <w:tc>
          <w:tcPr>
            <w:tcW w:w="1522" w:type="dxa"/>
            <w:tcBorders>
              <w:top w:val="single" w:sz="4" w:space="0" w:color="000000"/>
              <w:left w:val="single" w:sz="4" w:space="0" w:color="000000"/>
              <w:bottom w:val="single" w:sz="4" w:space="0" w:color="000000"/>
            </w:tcBorders>
            <w:shd w:val="clear" w:color="auto" w:fill="auto"/>
            <w:vAlign w:val="center"/>
          </w:tcPr>
          <w:p w14:paraId="32F5A62B"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- 48,187,112,561</w:t>
            </w:r>
          </w:p>
        </w:tc>
        <w:tc>
          <w:tcPr>
            <w:tcW w:w="1522" w:type="dxa"/>
            <w:tcBorders>
              <w:top w:val="single" w:sz="4" w:space="0" w:color="000000"/>
              <w:left w:val="single" w:sz="4" w:space="0" w:color="000000"/>
              <w:bottom w:val="single" w:sz="4" w:space="0" w:color="000000"/>
            </w:tcBorders>
            <w:shd w:val="clear" w:color="auto" w:fill="auto"/>
            <w:vAlign w:val="center"/>
          </w:tcPr>
          <w:p w14:paraId="14F48276"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101,002,932,237</w:t>
            </w:r>
          </w:p>
        </w:tc>
        <w:tc>
          <w:tcPr>
            <w:tcW w:w="642" w:type="dxa"/>
            <w:tcBorders>
              <w:top w:val="single" w:sz="4" w:space="0" w:color="000000"/>
              <w:left w:val="single" w:sz="4" w:space="0" w:color="000000"/>
              <w:bottom w:val="single" w:sz="4" w:space="0" w:color="000000"/>
            </w:tcBorders>
            <w:shd w:val="clear" w:color="auto" w:fill="auto"/>
            <w:vAlign w:val="center"/>
          </w:tcPr>
          <w:p w14:paraId="033D9D3F"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-148%</w:t>
            </w:r>
          </w:p>
        </w:tc>
        <w:tc>
          <w:tcPr>
            <w:tcW w:w="1530" w:type="dxa"/>
            <w:tcBorders>
              <w:top w:val="single" w:sz="4" w:space="0" w:color="000000"/>
              <w:left w:val="single" w:sz="4" w:space="0" w:color="000000"/>
              <w:bottom w:val="single" w:sz="4" w:space="0" w:color="000000"/>
            </w:tcBorders>
            <w:shd w:val="clear" w:color="auto" w:fill="auto"/>
            <w:vAlign w:val="center"/>
          </w:tcPr>
          <w:p w14:paraId="6DC62C16"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- 53,815,187,926</w:t>
            </w:r>
          </w:p>
        </w:tc>
        <w:tc>
          <w:tcPr>
            <w:tcW w:w="1530" w:type="dxa"/>
            <w:tcBorders>
              <w:top w:val="single" w:sz="4" w:space="0" w:color="000000"/>
              <w:left w:val="single" w:sz="4" w:space="0" w:color="000000"/>
              <w:bottom w:val="single" w:sz="4" w:space="0" w:color="000000"/>
            </w:tcBorders>
            <w:shd w:val="clear" w:color="auto" w:fill="auto"/>
            <w:vAlign w:val="center"/>
          </w:tcPr>
          <w:p w14:paraId="66963CA8"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121,282,006,313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1E2C2" w14:textId="77777777" w:rsidR="008F7DD5" w:rsidRPr="000F4541" w:rsidRDefault="00207D4B" w:rsidP="000F454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4541">
              <w:rPr>
                <w:rFonts w:ascii="Arial" w:hAnsi="Arial" w:cs="Arial"/>
                <w:color w:val="010000"/>
                <w:sz w:val="20"/>
                <w:szCs w:val="20"/>
              </w:rPr>
              <w:t>-144%</w:t>
            </w:r>
          </w:p>
        </w:tc>
      </w:tr>
    </w:tbl>
    <w:p w14:paraId="5B4271C8"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 xml:space="preserve">The profit after tax in 2023 decreased compared to that of the same period in 2022 due to unfavorable </w:t>
      </w:r>
      <w:r w:rsidRPr="000F4541">
        <w:rPr>
          <w:rFonts w:ascii="Arial" w:hAnsi="Arial" w:cs="Arial"/>
          <w:color w:val="010000"/>
          <w:sz w:val="20"/>
          <w:szCs w:val="20"/>
        </w:rPr>
        <w:lastRenderedPageBreak/>
        <w:t>real estate market conditions, leading to a decline in demand and the fact that Company did not intensify sales launches.  Specifically, the revenue from goods sold and services provided by the Holding Company in 2023 decreased by 71%, and the cost of goods sold decreased by 74% compared to the same period in 2022. On the Consolidated Financial Statements, these figures decreased by 73% and 76% respectively. Additionally, during the year, the Company implemented early payment discount policies, which increased financial expense to serve the purpose of debt recovery and optimize cash flow efficiency.</w:t>
      </w:r>
    </w:p>
    <w:p w14:paraId="1F13FCF2" w14:textId="77777777" w:rsidR="008F7DD5" w:rsidRPr="000F4541" w:rsidRDefault="00207D4B" w:rsidP="000F4541">
      <w:pPr>
        <w:numPr>
          <w:ilvl w:val="0"/>
          <w:numId w:val="2"/>
        </w:numPr>
        <w:pBdr>
          <w:top w:val="nil"/>
          <w:left w:val="nil"/>
          <w:bottom w:val="nil"/>
          <w:right w:val="nil"/>
          <w:between w:val="nil"/>
        </w:pBdr>
        <w:tabs>
          <w:tab w:val="left" w:pos="432"/>
          <w:tab w:val="left" w:pos="724"/>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Explanation of the profit loss in the reporting period, shifting from profit in the report of the previous corresponding period to a loss in this period or vice versa, as follows:</w:t>
      </w:r>
    </w:p>
    <w:p w14:paraId="5CDB89FB"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The adverse effects of the real estate market led to a loss in profit after tax on the Financial Statements of both the Holding Company and the Consolidated Company that suffered a loss.  Specifically, the Holding Company’s loss was VND 48,187,112,561, and the Consolidated Company’s loss was VND 53,815,187,926.</w:t>
      </w:r>
    </w:p>
    <w:p w14:paraId="6D49599E" w14:textId="77777777" w:rsidR="008F7DD5" w:rsidRPr="000F4541" w:rsidRDefault="00207D4B" w:rsidP="000F4541">
      <w:pPr>
        <w:numPr>
          <w:ilvl w:val="0"/>
          <w:numId w:val="2"/>
        </w:numPr>
        <w:pBdr>
          <w:top w:val="nil"/>
          <w:left w:val="nil"/>
          <w:bottom w:val="nil"/>
          <w:right w:val="nil"/>
          <w:between w:val="nil"/>
        </w:pBdr>
        <w:tabs>
          <w:tab w:val="left" w:pos="432"/>
          <w:tab w:val="left" w:pos="724"/>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Explanation of the difference of 5% or more of profit after tax in the Financial Statement before and after audit, moving from loss to profit or vice versa:</w:t>
      </w:r>
    </w:p>
    <w:p w14:paraId="31FFF0C5"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The profit after tax on the Holding Company’s Financial Statements and Consolidated Company's Financial Statements differed by more than 5% before and after the audit.  The main reason is that as of December 31, 2023, our Company had not yet collected the Financial Statements of the units, so the self-prepared report had no basis for provisioning expenses.</w:t>
      </w:r>
    </w:p>
    <w:p w14:paraId="42C47E79" w14:textId="77777777" w:rsidR="008F7DD5" w:rsidRPr="000F4541" w:rsidRDefault="00207D4B" w:rsidP="000F4541">
      <w:pPr>
        <w:numPr>
          <w:ilvl w:val="0"/>
          <w:numId w:val="2"/>
        </w:numPr>
        <w:pBdr>
          <w:top w:val="nil"/>
          <w:left w:val="nil"/>
          <w:bottom w:val="nil"/>
          <w:right w:val="nil"/>
          <w:between w:val="nil"/>
        </w:pBdr>
        <w:tabs>
          <w:tab w:val="left" w:pos="432"/>
          <w:tab w:val="left" w:pos="724"/>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Explanation of the audit organization issuing an opinion that is not a modified opinion for the Audited Financial Statements 2023:</w:t>
      </w:r>
    </w:p>
    <w:p w14:paraId="0734B7AF"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Reason for auditor’s qualified opinion:</w:t>
      </w:r>
    </w:p>
    <w:p w14:paraId="0C77723E" w14:textId="5F40F888"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 xml:space="preserve">"As of December 31, 2023, the Company was making prepayments to individuals who are employees of the Company for the purpose of conducting transactions related to the implementation and investment in the development of potential projects, amounting to VND 104,661,534,573 (see Footnote V.6a). As of the date of this Report, we have not been provided with the documents reporting the results of the prepayments or the dossiers for the settlement of the prepayments to determine whether the prepayments have been used for the intended purposes. Therefore, we cannot draw a conclusion on the reasonableness of the prepayment balance at the end of the fiscal year nor can we draw a conclusion on whether the prepayment </w:t>
      </w:r>
      <w:r w:rsidR="008941C4" w:rsidRPr="000F4541">
        <w:rPr>
          <w:rFonts w:ascii="Arial" w:hAnsi="Arial" w:cs="Arial"/>
          <w:color w:val="010000"/>
          <w:sz w:val="20"/>
          <w:szCs w:val="20"/>
        </w:rPr>
        <w:t>was</w:t>
      </w:r>
      <w:r w:rsidRPr="000F4541">
        <w:rPr>
          <w:rFonts w:ascii="Arial" w:hAnsi="Arial" w:cs="Arial"/>
          <w:color w:val="010000"/>
          <w:sz w:val="20"/>
          <w:szCs w:val="20"/>
        </w:rPr>
        <w:t xml:space="preserve"> used for the intended purpose.</w:t>
      </w:r>
    </w:p>
    <w:p w14:paraId="5D667ACE"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The Company’s explanation: In terms of the prepayment balance as of December 31, 2023: VND 104,661,534,573 is a prepayment for staff to implement potential projects and land clearance for ongoing projects. The company is urging employees to urgently complete reimbursement dossiers in accordance with regulations.</w:t>
      </w:r>
    </w:p>
    <w:p w14:paraId="3F821936" w14:textId="77777777"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 xml:space="preserve">“As of December 31, 2023, the Company was lending to related parties an amount of VND 114,888,000,000, loan interest receivable is VND 33,759,312,877, of which, some loans have no collateral. (Footnotes of Financial Statements No. V.3 and V.6a). As for loans with collateral, the </w:t>
      </w:r>
      <w:r w:rsidRPr="000F4541">
        <w:rPr>
          <w:rFonts w:ascii="Arial" w:hAnsi="Arial" w:cs="Arial"/>
          <w:color w:val="010000"/>
          <w:sz w:val="20"/>
          <w:szCs w:val="20"/>
        </w:rPr>
        <w:lastRenderedPageBreak/>
        <w:t>Company also has no measures to manage the collateral. We have not collected appropriate evidence to evaluate the possibility of recovery, nor can we give an opinion on the amount of provision for bad receivable debts that needs to be made (if any) for these receivables.</w:t>
      </w:r>
    </w:p>
    <w:p w14:paraId="7D0E076D" w14:textId="75BE8D2F" w:rsidR="008F7DD5" w:rsidRPr="000F4541" w:rsidRDefault="00207D4B" w:rsidP="000F4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4541">
        <w:rPr>
          <w:rFonts w:ascii="Arial" w:hAnsi="Arial" w:cs="Arial"/>
          <w:color w:val="010000"/>
          <w:sz w:val="20"/>
          <w:szCs w:val="20"/>
        </w:rPr>
        <w:t>The Company’s explanation: In terms of loans and interest on loans to related parties, we evaluate the development potential of companies, contractual loans and stipulate terms on collateral being real estate products from the borrowers’ projects.</w:t>
      </w:r>
    </w:p>
    <w:sectPr w:rsidR="008F7DD5" w:rsidRPr="000F4541">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B356C"/>
    <w:multiLevelType w:val="multilevel"/>
    <w:tmpl w:val="3BB4B34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7F62889"/>
    <w:multiLevelType w:val="multilevel"/>
    <w:tmpl w:val="8A7AF4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D5"/>
    <w:rsid w:val="000F4541"/>
    <w:rsid w:val="00207D4B"/>
    <w:rsid w:val="008941C4"/>
    <w:rsid w:val="008F7DD5"/>
    <w:rsid w:val="00BE6525"/>
    <w:rsid w:val="00DD0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A6065"/>
  <w15:docId w15:val="{8148B78A-AD2A-4BFF-8DF1-06C9705D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bCs/>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6"/>
      <w:szCs w:val="1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30">
    <w:name w:val="Body text (3)"/>
    <w:basedOn w:val="Normal"/>
    <w:link w:val="Bodytext3"/>
    <w:pPr>
      <w:spacing w:line="252" w:lineRule="auto"/>
    </w:pPr>
    <w:rPr>
      <w:rFonts w:ascii="Arial" w:eastAsia="Arial" w:hAnsi="Arial" w:cs="Arial"/>
      <w:b/>
      <w:bCs/>
      <w:sz w:val="12"/>
      <w:szCs w:val="12"/>
    </w:rPr>
  </w:style>
  <w:style w:type="paragraph" w:customStyle="1" w:styleId="Heading11">
    <w:name w:val="Heading #1"/>
    <w:basedOn w:val="Normal"/>
    <w:link w:val="Heading10"/>
    <w:pPr>
      <w:outlineLvl w:val="0"/>
    </w:pPr>
    <w:rPr>
      <w:rFonts w:ascii="Arial" w:eastAsia="Arial" w:hAnsi="Arial" w:cs="Arial"/>
      <w:sz w:val="30"/>
      <w:szCs w:val="30"/>
    </w:rPr>
  </w:style>
  <w:style w:type="paragraph" w:styleId="BodyText">
    <w:name w:val="Body Text"/>
    <w:basedOn w:val="Normal"/>
    <w:link w:val="BodyTextChar"/>
    <w:qFormat/>
    <w:pPr>
      <w:spacing w:line="293" w:lineRule="auto"/>
      <w:ind w:firstLine="100"/>
    </w:pPr>
    <w:rPr>
      <w:rFonts w:ascii="Times New Roman" w:eastAsia="Times New Roman" w:hAnsi="Times New Roman" w:cs="Times New Roman"/>
      <w:sz w:val="20"/>
      <w:szCs w:val="20"/>
    </w:rPr>
  </w:style>
  <w:style w:type="paragraph" w:customStyle="1" w:styleId="Heading31">
    <w:name w:val="Heading #3"/>
    <w:basedOn w:val="Normal"/>
    <w:link w:val="Heading30"/>
    <w:pPr>
      <w:spacing w:line="250" w:lineRule="auto"/>
      <w:outlineLvl w:val="2"/>
    </w:pPr>
    <w:rPr>
      <w:rFonts w:ascii="Times New Roman" w:eastAsia="Times New Roman" w:hAnsi="Times New Roman" w:cs="Times New Roman"/>
      <w:b/>
      <w:bCs/>
      <w:sz w:val="20"/>
      <w:szCs w:val="20"/>
    </w:rPr>
  </w:style>
  <w:style w:type="paragraph" w:customStyle="1" w:styleId="Bodytext20">
    <w:name w:val="Body text (2)"/>
    <w:basedOn w:val="Normal"/>
    <w:link w:val="Bodytext2"/>
    <w:pPr>
      <w:spacing w:line="317" w:lineRule="auto"/>
    </w:pPr>
    <w:rPr>
      <w:rFonts w:ascii="Times New Roman" w:eastAsia="Times New Roman" w:hAnsi="Times New Roman" w:cs="Times New Roman"/>
      <w:i/>
      <w:iCs/>
      <w:sz w:val="18"/>
      <w:szCs w:val="18"/>
    </w:rPr>
  </w:style>
  <w:style w:type="paragraph" w:customStyle="1" w:styleId="Heading21">
    <w:name w:val="Heading #2"/>
    <w:basedOn w:val="Normal"/>
    <w:link w:val="Heading20"/>
    <w:pPr>
      <w:ind w:firstLine="300"/>
      <w:outlineLvl w:val="1"/>
    </w:pPr>
    <w:rPr>
      <w:rFonts w:ascii="Arial" w:eastAsia="Arial" w:hAnsi="Arial" w:cs="Arial"/>
      <w:smallCaps/>
      <w:sz w:val="26"/>
      <w:szCs w:val="26"/>
    </w:rPr>
  </w:style>
  <w:style w:type="paragraph" w:customStyle="1" w:styleId="Bodytext40">
    <w:name w:val="Body text (4)"/>
    <w:basedOn w:val="Normal"/>
    <w:link w:val="Bodytext4"/>
    <w:rPr>
      <w:rFonts w:ascii="Times New Roman" w:eastAsia="Times New Roman" w:hAnsi="Times New Roman" w:cs="Times New Roman"/>
      <w:b/>
      <w:bCs/>
      <w:sz w:val="16"/>
      <w:szCs w:val="16"/>
    </w:rPr>
  </w:style>
  <w:style w:type="paragraph" w:customStyle="1" w:styleId="Bodytext50">
    <w:name w:val="Body text (5)"/>
    <w:basedOn w:val="Normal"/>
    <w:link w:val="Bodytext5"/>
    <w:rPr>
      <w:rFonts w:ascii="Arial" w:eastAsia="Arial" w:hAnsi="Arial" w:cs="Arial"/>
      <w:smallCaps/>
      <w:sz w:val="22"/>
      <w:szCs w:val="22"/>
    </w:rPr>
  </w:style>
  <w:style w:type="paragraph" w:customStyle="1" w:styleId="Tablecaption0">
    <w:name w:val="Table caption"/>
    <w:basedOn w:val="Normal"/>
    <w:link w:val="Tablecaption"/>
    <w:pPr>
      <w:spacing w:line="298" w:lineRule="auto"/>
      <w:ind w:firstLine="460"/>
    </w:pPr>
    <w:rPr>
      <w:rFonts w:ascii="Times New Roman" w:eastAsia="Times New Roman" w:hAnsi="Times New Roman" w:cs="Times New Roman"/>
      <w:sz w:val="20"/>
      <w:szCs w:val="20"/>
    </w:rPr>
  </w:style>
  <w:style w:type="paragraph" w:customStyle="1" w:styleId="Other0">
    <w:name w:val="Other"/>
    <w:basedOn w:val="Normal"/>
    <w:link w:val="Other"/>
    <w:pPr>
      <w:spacing w:line="293" w:lineRule="auto"/>
      <w:ind w:firstLine="10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9Ls2bUZRKbhLU3m04sxSPVRHXA==">CgMxLjAyCGguZ2pkZ3hzOAByITFHM2VGSHdONVVDUXE0aXM0cXpaMXd4ZERPcjVlVU1FOQ==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4434</Characters>
  <Application>Microsoft Office Word</Application>
  <DocSecurity>0</DocSecurity>
  <Lines>177</Lines>
  <Paragraphs>126</Paragraphs>
  <ScaleCrop>false</ScaleCrop>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2024-04-04T04:18:00Z</dcterms:created>
  <dcterms:modified xsi:type="dcterms:W3CDTF">2024-04-05T09:26:00Z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d56f93f41cf46081925159cfb53c2a72aba88ae7d5baf951c5f9e03e0d8e75ff</vt:lpwstr>
  </property>
</Properties>
</file>