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792F5" w14:textId="77777777" w:rsidR="00617AF3" w:rsidRDefault="00680988" w:rsidP="00B12B22">
      <w:pPr>
        <w:pBdr>
          <w:top w:val="nil"/>
          <w:left w:val="nil"/>
          <w:bottom w:val="nil"/>
          <w:right w:val="nil"/>
          <w:between w:val="nil"/>
        </w:pBdr>
        <w:tabs>
          <w:tab w:val="left" w:pos="567"/>
          <w:tab w:val="left" w:pos="4561"/>
        </w:tabs>
        <w:spacing w:after="120" w:line="360" w:lineRule="auto"/>
        <w:jc w:val="both"/>
        <w:rPr>
          <w:rFonts w:ascii="Arial" w:eastAsia="Arial" w:hAnsi="Arial" w:cs="Arial"/>
          <w:b/>
          <w:color w:val="010000"/>
          <w:sz w:val="20"/>
          <w:szCs w:val="20"/>
        </w:rPr>
      </w:pPr>
      <w:r>
        <w:rPr>
          <w:rFonts w:ascii="Arial" w:hAnsi="Arial"/>
          <w:b/>
          <w:color w:val="010000"/>
          <w:sz w:val="20"/>
        </w:rPr>
        <w:t>CAP: Board Resolution</w:t>
      </w:r>
    </w:p>
    <w:p w14:paraId="205DAA0E" w14:textId="77777777" w:rsidR="00617AF3" w:rsidRDefault="00680988" w:rsidP="00B12B22">
      <w:pPr>
        <w:pBdr>
          <w:top w:val="nil"/>
          <w:left w:val="nil"/>
          <w:bottom w:val="nil"/>
          <w:right w:val="nil"/>
          <w:between w:val="nil"/>
        </w:pBdr>
        <w:tabs>
          <w:tab w:val="left" w:pos="567"/>
          <w:tab w:val="left" w:pos="4561"/>
        </w:tabs>
        <w:spacing w:after="120" w:line="360" w:lineRule="auto"/>
        <w:jc w:val="both"/>
        <w:rPr>
          <w:rFonts w:ascii="Arial" w:eastAsia="Arial" w:hAnsi="Arial" w:cs="Arial"/>
          <w:color w:val="010000"/>
          <w:sz w:val="20"/>
          <w:szCs w:val="20"/>
        </w:rPr>
      </w:pPr>
      <w:r>
        <w:rPr>
          <w:rFonts w:ascii="Arial" w:hAnsi="Arial"/>
          <w:color w:val="010000"/>
          <w:sz w:val="20"/>
        </w:rPr>
        <w:t>On March 28, 2024, Yen Bai Joint Stock Forest Agricultural Products and Foodstuff Company announced Resolution No. 13/NQ-HDQT as follows:</w:t>
      </w:r>
    </w:p>
    <w:p w14:paraId="4451A7E3"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I: The Board of Directors of Yen Bai Joint Stock Forest Agricultural Products and Foodstuff Company agrees to approve the following contents:</w:t>
      </w:r>
    </w:p>
    <w:p w14:paraId="0BA29047" w14:textId="01AD5E55" w:rsidR="00617AF3" w:rsidRDefault="00680988" w:rsidP="00B12B22">
      <w:pPr>
        <w:numPr>
          <w:ilvl w:val="0"/>
          <w:numId w:val="2"/>
        </w:numPr>
        <w:pBdr>
          <w:top w:val="nil"/>
          <w:left w:val="nil"/>
          <w:bottom w:val="nil"/>
          <w:right w:val="nil"/>
          <w:between w:val="nil"/>
        </w:pBdr>
        <w:tabs>
          <w:tab w:val="left" w:pos="567"/>
          <w:tab w:val="left" w:pos="1035"/>
        </w:tabs>
        <w:spacing w:after="120" w:line="360" w:lineRule="auto"/>
        <w:jc w:val="both"/>
        <w:rPr>
          <w:rFonts w:ascii="Arial" w:eastAsia="Arial" w:hAnsi="Arial" w:cs="Arial"/>
          <w:color w:val="010000"/>
          <w:sz w:val="20"/>
          <w:szCs w:val="20"/>
        </w:rPr>
      </w:pPr>
      <w:r>
        <w:rPr>
          <w:rFonts w:ascii="Arial" w:hAnsi="Arial"/>
          <w:color w:val="010000"/>
          <w:sz w:val="20"/>
        </w:rPr>
        <w:t>Results of issuing shares to pay dividends for the year of 2022-2023:</w:t>
      </w:r>
    </w:p>
    <w:p w14:paraId="76859AFA" w14:textId="77777777" w:rsidR="00617AF3" w:rsidRDefault="00680988" w:rsidP="00B12B22">
      <w:pPr>
        <w:numPr>
          <w:ilvl w:val="1"/>
          <w:numId w:val="2"/>
        </w:numPr>
        <w:pBdr>
          <w:top w:val="nil"/>
          <w:left w:val="nil"/>
          <w:bottom w:val="nil"/>
          <w:right w:val="nil"/>
          <w:between w:val="nil"/>
        </w:pBdr>
        <w:tabs>
          <w:tab w:val="left" w:pos="567"/>
          <w:tab w:val="left" w:pos="1218"/>
        </w:tabs>
        <w:spacing w:after="120" w:line="360" w:lineRule="auto"/>
        <w:jc w:val="both"/>
        <w:rPr>
          <w:rFonts w:ascii="Arial" w:eastAsia="Arial" w:hAnsi="Arial" w:cs="Arial"/>
          <w:color w:val="010000"/>
          <w:sz w:val="20"/>
          <w:szCs w:val="20"/>
        </w:rPr>
      </w:pPr>
      <w:r>
        <w:rPr>
          <w:rFonts w:ascii="Arial" w:hAnsi="Arial"/>
          <w:color w:val="010000"/>
          <w:sz w:val="20"/>
        </w:rPr>
        <w:t xml:space="preserve">Total number of distributed shares: 5,026,364 shares, of which: </w:t>
      </w:r>
    </w:p>
    <w:p w14:paraId="7E9768F2" w14:textId="77777777" w:rsidR="00617AF3" w:rsidRDefault="00680988" w:rsidP="00B12B22">
      <w:pPr>
        <w:numPr>
          <w:ilvl w:val="0"/>
          <w:numId w:val="1"/>
        </w:numPr>
        <w:pBdr>
          <w:top w:val="nil"/>
          <w:left w:val="nil"/>
          <w:bottom w:val="nil"/>
          <w:right w:val="nil"/>
          <w:between w:val="nil"/>
        </w:pBdr>
        <w:tabs>
          <w:tab w:val="left" w:pos="567"/>
          <w:tab w:val="left" w:pos="944"/>
        </w:tabs>
        <w:spacing w:after="120" w:line="360" w:lineRule="auto"/>
        <w:jc w:val="both"/>
        <w:rPr>
          <w:rFonts w:ascii="Arial" w:eastAsia="Arial" w:hAnsi="Arial" w:cs="Arial"/>
          <w:color w:val="010000"/>
          <w:sz w:val="20"/>
          <w:szCs w:val="20"/>
        </w:rPr>
      </w:pPr>
      <w:r>
        <w:rPr>
          <w:rFonts w:ascii="Arial" w:hAnsi="Arial"/>
          <w:color w:val="010000"/>
          <w:sz w:val="20"/>
        </w:rPr>
        <w:t>Number of shares distributed to shareholders according to the rate: 5,026,364 shares</w:t>
      </w:r>
    </w:p>
    <w:p w14:paraId="11A1FD22" w14:textId="4D1A7FB0" w:rsidR="00617AF3" w:rsidRDefault="00680988" w:rsidP="00B12B22">
      <w:pPr>
        <w:numPr>
          <w:ilvl w:val="0"/>
          <w:numId w:val="1"/>
        </w:numPr>
        <w:pBdr>
          <w:top w:val="nil"/>
          <w:left w:val="nil"/>
          <w:bottom w:val="nil"/>
          <w:right w:val="nil"/>
          <w:between w:val="nil"/>
        </w:pBdr>
        <w:tabs>
          <w:tab w:val="left" w:pos="567"/>
          <w:tab w:val="left" w:pos="928"/>
        </w:tabs>
        <w:spacing w:after="120" w:line="360" w:lineRule="auto"/>
        <w:jc w:val="both"/>
        <w:rPr>
          <w:rFonts w:ascii="Arial" w:eastAsia="Arial" w:hAnsi="Arial" w:cs="Arial"/>
          <w:color w:val="010000"/>
          <w:sz w:val="20"/>
          <w:szCs w:val="20"/>
        </w:rPr>
      </w:pPr>
      <w:r>
        <w:rPr>
          <w:rFonts w:ascii="Arial" w:hAnsi="Arial"/>
          <w:color w:val="010000"/>
          <w:sz w:val="20"/>
        </w:rPr>
        <w:t xml:space="preserve">Number of fractional shares handled: 96 shares (this number of shares was canceled) </w:t>
      </w:r>
    </w:p>
    <w:p w14:paraId="0E78C684" w14:textId="0CA150A4" w:rsidR="00617AF3" w:rsidRDefault="00680988" w:rsidP="00B12B22">
      <w:pPr>
        <w:numPr>
          <w:ilvl w:val="1"/>
          <w:numId w:val="2"/>
        </w:numPr>
        <w:pBdr>
          <w:top w:val="nil"/>
          <w:left w:val="nil"/>
          <w:bottom w:val="nil"/>
          <w:right w:val="nil"/>
          <w:between w:val="nil"/>
        </w:pBdr>
        <w:tabs>
          <w:tab w:val="left" w:pos="567"/>
          <w:tab w:val="left" w:pos="1315"/>
        </w:tabs>
        <w:spacing w:after="120" w:line="360" w:lineRule="auto"/>
        <w:jc w:val="both"/>
        <w:rPr>
          <w:rFonts w:ascii="Arial" w:eastAsia="Arial" w:hAnsi="Arial" w:cs="Arial"/>
          <w:color w:val="010000"/>
          <w:sz w:val="20"/>
          <w:szCs w:val="20"/>
        </w:rPr>
      </w:pPr>
      <w:r>
        <w:rPr>
          <w:rFonts w:ascii="Arial" w:hAnsi="Arial"/>
          <w:color w:val="010000"/>
          <w:sz w:val="20"/>
        </w:rPr>
        <w:t>Total number of shares after the issuance (on March 19, 2024): 15,079,284 shares, of which:</w:t>
      </w:r>
    </w:p>
    <w:p w14:paraId="4A645C2B" w14:textId="77777777" w:rsidR="00617AF3" w:rsidRDefault="00680988" w:rsidP="00B12B22">
      <w:pPr>
        <w:numPr>
          <w:ilvl w:val="0"/>
          <w:numId w:val="1"/>
        </w:numPr>
        <w:pBdr>
          <w:top w:val="nil"/>
          <w:left w:val="nil"/>
          <w:bottom w:val="nil"/>
          <w:right w:val="nil"/>
          <w:between w:val="nil"/>
        </w:pBdr>
        <w:tabs>
          <w:tab w:val="left" w:pos="567"/>
          <w:tab w:val="left" w:pos="948"/>
        </w:tabs>
        <w:spacing w:after="120" w:line="360" w:lineRule="auto"/>
        <w:jc w:val="both"/>
        <w:rPr>
          <w:rFonts w:ascii="Arial" w:eastAsia="Arial" w:hAnsi="Arial" w:cs="Arial"/>
          <w:color w:val="010000"/>
          <w:sz w:val="20"/>
          <w:szCs w:val="20"/>
        </w:rPr>
      </w:pPr>
      <w:r>
        <w:rPr>
          <w:rFonts w:ascii="Arial" w:hAnsi="Arial"/>
          <w:color w:val="010000"/>
          <w:sz w:val="20"/>
        </w:rPr>
        <w:t>Number of outstanding shares: 15,079,284 shares.</w:t>
      </w:r>
    </w:p>
    <w:p w14:paraId="0730A987" w14:textId="77777777" w:rsidR="00617AF3" w:rsidRDefault="00680988" w:rsidP="00B12B22">
      <w:pPr>
        <w:numPr>
          <w:ilvl w:val="0"/>
          <w:numId w:val="1"/>
        </w:numPr>
        <w:pBdr>
          <w:top w:val="nil"/>
          <w:left w:val="nil"/>
          <w:bottom w:val="nil"/>
          <w:right w:val="nil"/>
          <w:between w:val="nil"/>
        </w:pBdr>
        <w:tabs>
          <w:tab w:val="left" w:pos="567"/>
          <w:tab w:val="left" w:pos="948"/>
        </w:tabs>
        <w:spacing w:after="120" w:line="360" w:lineRule="auto"/>
        <w:jc w:val="both"/>
        <w:rPr>
          <w:rFonts w:ascii="Arial" w:eastAsia="Arial" w:hAnsi="Arial" w:cs="Arial"/>
          <w:color w:val="010000"/>
          <w:sz w:val="20"/>
          <w:szCs w:val="20"/>
        </w:rPr>
      </w:pPr>
      <w:r>
        <w:rPr>
          <w:rFonts w:ascii="Arial" w:hAnsi="Arial"/>
          <w:color w:val="010000"/>
          <w:sz w:val="20"/>
        </w:rPr>
        <w:t>Number of treasury shares: 0 shares</w:t>
      </w:r>
      <w:bookmarkStart w:id="0" w:name="_GoBack"/>
      <w:bookmarkEnd w:id="0"/>
    </w:p>
    <w:p w14:paraId="70E45397" w14:textId="77777777" w:rsidR="00617AF3" w:rsidRDefault="00680988" w:rsidP="00B12B22">
      <w:pPr>
        <w:numPr>
          <w:ilvl w:val="0"/>
          <w:numId w:val="2"/>
        </w:numPr>
        <w:pBdr>
          <w:top w:val="nil"/>
          <w:left w:val="nil"/>
          <w:bottom w:val="nil"/>
          <w:right w:val="nil"/>
          <w:between w:val="nil"/>
        </w:pBdr>
        <w:tabs>
          <w:tab w:val="left" w:pos="567"/>
          <w:tab w:val="left" w:pos="1045"/>
        </w:tabs>
        <w:spacing w:after="120" w:line="360" w:lineRule="auto"/>
        <w:jc w:val="both"/>
        <w:rPr>
          <w:rFonts w:ascii="Arial" w:eastAsia="Arial" w:hAnsi="Arial" w:cs="Arial"/>
          <w:color w:val="010000"/>
          <w:sz w:val="20"/>
          <w:szCs w:val="20"/>
        </w:rPr>
      </w:pPr>
      <w:r>
        <w:rPr>
          <w:rFonts w:ascii="Arial" w:hAnsi="Arial"/>
          <w:color w:val="010000"/>
          <w:sz w:val="20"/>
        </w:rPr>
        <w:t>Approve the registration to increase the Company's charter capital at the Business Registration Office - Department of Planning and Investment of Yen Bai Province</w:t>
      </w:r>
    </w:p>
    <w:p w14:paraId="0267C6DD" w14:textId="77777777" w:rsidR="00617AF3" w:rsidRDefault="00680988" w:rsidP="00B12B22">
      <w:pPr>
        <w:numPr>
          <w:ilvl w:val="0"/>
          <w:numId w:val="1"/>
        </w:numPr>
        <w:pBdr>
          <w:top w:val="nil"/>
          <w:left w:val="nil"/>
          <w:bottom w:val="nil"/>
          <w:right w:val="nil"/>
          <w:between w:val="nil"/>
        </w:pBdr>
        <w:tabs>
          <w:tab w:val="left" w:pos="567"/>
          <w:tab w:val="left" w:pos="940"/>
        </w:tabs>
        <w:spacing w:after="120" w:line="360" w:lineRule="auto"/>
        <w:jc w:val="both"/>
        <w:rPr>
          <w:rFonts w:ascii="Arial" w:eastAsia="Arial" w:hAnsi="Arial" w:cs="Arial"/>
          <w:color w:val="010000"/>
          <w:sz w:val="20"/>
          <w:szCs w:val="20"/>
        </w:rPr>
      </w:pPr>
      <w:r>
        <w:rPr>
          <w:rFonts w:ascii="Arial" w:hAnsi="Arial"/>
          <w:color w:val="010000"/>
          <w:sz w:val="20"/>
        </w:rPr>
        <w:t>Registered charter capital: VND 100,529,200,000</w:t>
      </w:r>
    </w:p>
    <w:p w14:paraId="6244BB43" w14:textId="77777777" w:rsidR="00617AF3" w:rsidRDefault="00680988" w:rsidP="00B12B22">
      <w:pPr>
        <w:numPr>
          <w:ilvl w:val="0"/>
          <w:numId w:val="1"/>
        </w:numPr>
        <w:pBdr>
          <w:top w:val="nil"/>
          <w:left w:val="nil"/>
          <w:bottom w:val="nil"/>
          <w:right w:val="nil"/>
          <w:between w:val="nil"/>
        </w:pBdr>
        <w:tabs>
          <w:tab w:val="left" w:pos="567"/>
          <w:tab w:val="left" w:pos="944"/>
        </w:tabs>
        <w:spacing w:after="120" w:line="360" w:lineRule="auto"/>
        <w:jc w:val="both"/>
        <w:rPr>
          <w:rFonts w:ascii="Arial" w:eastAsia="Arial" w:hAnsi="Arial" w:cs="Arial"/>
          <w:color w:val="010000"/>
          <w:sz w:val="20"/>
          <w:szCs w:val="20"/>
        </w:rPr>
      </w:pPr>
      <w:r>
        <w:rPr>
          <w:rFonts w:ascii="Arial" w:hAnsi="Arial"/>
          <w:color w:val="010000"/>
          <w:sz w:val="20"/>
        </w:rPr>
        <w:t>Charter capital after changing: VND 150,792,840,000</w:t>
      </w:r>
    </w:p>
    <w:p w14:paraId="01D0F547" w14:textId="77777777" w:rsidR="00617AF3" w:rsidRDefault="00680988" w:rsidP="00B12B22">
      <w:pPr>
        <w:numPr>
          <w:ilvl w:val="0"/>
          <w:numId w:val="1"/>
        </w:numPr>
        <w:pBdr>
          <w:top w:val="nil"/>
          <w:left w:val="nil"/>
          <w:bottom w:val="nil"/>
          <w:right w:val="nil"/>
          <w:between w:val="nil"/>
        </w:pBdr>
        <w:tabs>
          <w:tab w:val="left" w:pos="567"/>
          <w:tab w:val="left" w:pos="948"/>
        </w:tabs>
        <w:spacing w:after="120" w:line="360" w:lineRule="auto"/>
        <w:jc w:val="both"/>
        <w:rPr>
          <w:rFonts w:ascii="Arial" w:eastAsia="Arial" w:hAnsi="Arial" w:cs="Arial"/>
          <w:color w:val="010000"/>
          <w:sz w:val="20"/>
          <w:szCs w:val="20"/>
        </w:rPr>
      </w:pPr>
      <w:r>
        <w:rPr>
          <w:rFonts w:ascii="Arial" w:hAnsi="Arial"/>
          <w:color w:val="010000"/>
          <w:sz w:val="20"/>
        </w:rPr>
        <w:t>Time of capital change: April 01, 2024</w:t>
      </w:r>
    </w:p>
    <w:p w14:paraId="485E598B" w14:textId="77777777" w:rsidR="00617AF3" w:rsidRDefault="00680988" w:rsidP="00B12B22">
      <w:pPr>
        <w:numPr>
          <w:ilvl w:val="0"/>
          <w:numId w:val="1"/>
        </w:numPr>
        <w:pBdr>
          <w:top w:val="nil"/>
          <w:left w:val="nil"/>
          <w:bottom w:val="nil"/>
          <w:right w:val="nil"/>
          <w:between w:val="nil"/>
        </w:pBdr>
        <w:tabs>
          <w:tab w:val="left" w:pos="567"/>
          <w:tab w:val="left" w:pos="928"/>
        </w:tabs>
        <w:spacing w:after="120" w:line="360" w:lineRule="auto"/>
        <w:jc w:val="both"/>
        <w:rPr>
          <w:rFonts w:ascii="Arial" w:eastAsia="Arial" w:hAnsi="Arial" w:cs="Arial"/>
          <w:color w:val="010000"/>
          <w:sz w:val="20"/>
          <w:szCs w:val="20"/>
        </w:rPr>
      </w:pPr>
      <w:r>
        <w:rPr>
          <w:rFonts w:ascii="Arial" w:hAnsi="Arial"/>
          <w:color w:val="010000"/>
          <w:sz w:val="20"/>
        </w:rPr>
        <w:t>Form of capital increase: Share issuance for dividend payment to increase Company’s charter capital.</w:t>
      </w:r>
    </w:p>
    <w:p w14:paraId="669DFE8A" w14:textId="77777777" w:rsidR="00617AF3" w:rsidRDefault="00680988" w:rsidP="00B12B22">
      <w:pPr>
        <w:numPr>
          <w:ilvl w:val="0"/>
          <w:numId w:val="1"/>
        </w:numPr>
        <w:pBdr>
          <w:top w:val="nil"/>
          <w:left w:val="nil"/>
          <w:bottom w:val="nil"/>
          <w:right w:val="nil"/>
          <w:between w:val="nil"/>
        </w:pBdr>
        <w:tabs>
          <w:tab w:val="left" w:pos="567"/>
          <w:tab w:val="left" w:pos="931"/>
        </w:tabs>
        <w:spacing w:after="120" w:line="360" w:lineRule="auto"/>
        <w:jc w:val="both"/>
        <w:rPr>
          <w:rFonts w:ascii="Arial" w:eastAsia="Arial" w:hAnsi="Arial" w:cs="Arial"/>
          <w:color w:val="010000"/>
          <w:sz w:val="20"/>
          <w:szCs w:val="20"/>
        </w:rPr>
      </w:pPr>
      <w:r>
        <w:rPr>
          <w:rFonts w:ascii="Arial" w:hAnsi="Arial"/>
          <w:color w:val="010000"/>
          <w:sz w:val="20"/>
        </w:rPr>
        <w:t>Share information:</w:t>
      </w:r>
    </w:p>
    <w:p w14:paraId="563AEB31"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Par value of shares: VND 10,000/01 share</w:t>
      </w:r>
    </w:p>
    <w:tbl>
      <w:tblPr>
        <w:tblStyle w:val="a"/>
        <w:tblW w:w="9017" w:type="dxa"/>
        <w:tblLayout w:type="fixed"/>
        <w:tblLook w:val="0000" w:firstRow="0" w:lastRow="0" w:firstColumn="0" w:lastColumn="0" w:noHBand="0" w:noVBand="0"/>
      </w:tblPr>
      <w:tblGrid>
        <w:gridCol w:w="724"/>
        <w:gridCol w:w="3004"/>
        <w:gridCol w:w="1412"/>
        <w:gridCol w:w="2032"/>
        <w:gridCol w:w="1845"/>
      </w:tblGrid>
      <w:tr w:rsidR="00617AF3" w14:paraId="2B74E574" w14:textId="77777777">
        <w:tc>
          <w:tcPr>
            <w:tcW w:w="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5DA8B1"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0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1D6BBC"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Type of share:</w:t>
            </w:r>
          </w:p>
        </w:tc>
        <w:tc>
          <w:tcPr>
            <w:tcW w:w="1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BAF88A"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Quantity</w:t>
            </w:r>
          </w:p>
        </w:tc>
        <w:tc>
          <w:tcPr>
            <w:tcW w:w="2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DDC00A"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Value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1D2DDA"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Rate compared to the charter capital (%)</w:t>
            </w:r>
          </w:p>
        </w:tc>
      </w:tr>
      <w:tr w:rsidR="00617AF3" w14:paraId="7E57566A" w14:textId="77777777">
        <w:tc>
          <w:tcPr>
            <w:tcW w:w="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936423"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0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757A1E"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Common shares</w:t>
            </w:r>
          </w:p>
        </w:tc>
        <w:tc>
          <w:tcPr>
            <w:tcW w:w="1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A9DDA"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15,079,284</w:t>
            </w:r>
          </w:p>
        </w:tc>
        <w:tc>
          <w:tcPr>
            <w:tcW w:w="2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E67C93"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150,792,840,000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45FF14"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100%</w:t>
            </w:r>
          </w:p>
        </w:tc>
      </w:tr>
      <w:tr w:rsidR="00617AF3" w14:paraId="4962B0D6" w14:textId="77777777">
        <w:tc>
          <w:tcPr>
            <w:tcW w:w="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9B0A87"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0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EFDE26"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Voting preferred shares</w:t>
            </w:r>
          </w:p>
        </w:tc>
        <w:tc>
          <w:tcPr>
            <w:tcW w:w="1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2A0A15"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2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D19CE5"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7CF227"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r>
      <w:tr w:rsidR="00617AF3" w14:paraId="79781C0B" w14:textId="77777777">
        <w:tc>
          <w:tcPr>
            <w:tcW w:w="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26E685"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0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6661EB"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Shares with preferred dividends</w:t>
            </w:r>
          </w:p>
        </w:tc>
        <w:tc>
          <w:tcPr>
            <w:tcW w:w="1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C759E5"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2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D0AB31"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443A29"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r>
      <w:tr w:rsidR="00617AF3" w14:paraId="37AF994C" w14:textId="77777777">
        <w:tc>
          <w:tcPr>
            <w:tcW w:w="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D8DA72"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30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40F20D"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Redeemable preferred shares</w:t>
            </w:r>
          </w:p>
        </w:tc>
        <w:tc>
          <w:tcPr>
            <w:tcW w:w="1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929DC4"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2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BB0ECC"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334A20"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r>
      <w:tr w:rsidR="00617AF3" w14:paraId="5C2597A0" w14:textId="77777777">
        <w:tc>
          <w:tcPr>
            <w:tcW w:w="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8D31F"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30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E8364A"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Other preferred shares</w:t>
            </w:r>
          </w:p>
        </w:tc>
        <w:tc>
          <w:tcPr>
            <w:tcW w:w="1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77692E"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2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0B01AC"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4BF5E7"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0</w:t>
            </w:r>
          </w:p>
        </w:tc>
      </w:tr>
      <w:tr w:rsidR="00617AF3" w14:paraId="11CBBD6F" w14:textId="77777777">
        <w:tc>
          <w:tcPr>
            <w:tcW w:w="3728"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36C6F1"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4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7AE205"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15,079,284</w:t>
            </w:r>
          </w:p>
        </w:tc>
        <w:tc>
          <w:tcPr>
            <w:tcW w:w="20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3DA4D2"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150,792,840,000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E8DF4F"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100%</w:t>
            </w:r>
          </w:p>
        </w:tc>
      </w:tr>
    </w:tbl>
    <w:p w14:paraId="502EF5BC"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3. Approve the amendment of Article 6 of the Company’s Charter on the charter capital and shares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
        <w:gridCol w:w="3462"/>
        <w:gridCol w:w="2263"/>
        <w:gridCol w:w="2258"/>
      </w:tblGrid>
      <w:tr w:rsidR="00617AF3" w14:paraId="1FFFA4FC" w14:textId="77777777">
        <w:tc>
          <w:tcPr>
            <w:tcW w:w="1034" w:type="dxa"/>
            <w:tcBorders>
              <w:top w:val="single" w:sz="4" w:space="0" w:color="000000"/>
              <w:left w:val="single" w:sz="4" w:space="0" w:color="000000"/>
              <w:bottom w:val="single" w:sz="4" w:space="0" w:color="000000"/>
              <w:right w:val="single" w:sz="4" w:space="0" w:color="000000"/>
            </w:tcBorders>
            <w:vAlign w:val="center"/>
          </w:tcPr>
          <w:p w14:paraId="3495FFCB"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lastRenderedPageBreak/>
              <w:t>No.</w:t>
            </w:r>
          </w:p>
        </w:tc>
        <w:tc>
          <w:tcPr>
            <w:tcW w:w="3462" w:type="dxa"/>
            <w:tcBorders>
              <w:top w:val="single" w:sz="4" w:space="0" w:color="000000"/>
              <w:left w:val="single" w:sz="4" w:space="0" w:color="000000"/>
              <w:bottom w:val="single" w:sz="4" w:space="0" w:color="000000"/>
              <w:right w:val="single" w:sz="4" w:space="0" w:color="000000"/>
            </w:tcBorders>
            <w:vAlign w:val="center"/>
          </w:tcPr>
          <w:p w14:paraId="7982E80F"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2263" w:type="dxa"/>
            <w:tcBorders>
              <w:top w:val="single" w:sz="4" w:space="0" w:color="000000"/>
              <w:left w:val="single" w:sz="4" w:space="0" w:color="000000"/>
              <w:bottom w:val="single" w:sz="4" w:space="0" w:color="000000"/>
              <w:right w:val="single" w:sz="4" w:space="0" w:color="000000"/>
            </w:tcBorders>
            <w:vAlign w:val="center"/>
          </w:tcPr>
          <w:p w14:paraId="2E0D7512" w14:textId="77777777" w:rsidR="00617AF3" w:rsidRDefault="00680988" w:rsidP="00B12B22">
            <w:pPr>
              <w:pBdr>
                <w:top w:val="nil"/>
                <w:left w:val="nil"/>
                <w:bottom w:val="nil"/>
                <w:right w:val="nil"/>
                <w:between w:val="nil"/>
              </w:pBdr>
              <w:tabs>
                <w:tab w:val="left" w:pos="567"/>
                <w:tab w:val="left" w:pos="791"/>
                <w:tab w:val="left" w:pos="1415"/>
                <w:tab w:val="left" w:pos="1966"/>
              </w:tabs>
              <w:spacing w:after="120" w:line="360" w:lineRule="auto"/>
              <w:jc w:val="both"/>
              <w:rPr>
                <w:rFonts w:ascii="Arial" w:eastAsia="Arial" w:hAnsi="Arial" w:cs="Arial"/>
                <w:color w:val="010000"/>
                <w:sz w:val="20"/>
                <w:szCs w:val="20"/>
              </w:rPr>
            </w:pPr>
            <w:r>
              <w:rPr>
                <w:rFonts w:ascii="Arial" w:hAnsi="Arial"/>
                <w:color w:val="010000"/>
                <w:sz w:val="20"/>
              </w:rPr>
              <w:t xml:space="preserve"> Old</w:t>
            </w:r>
          </w:p>
        </w:tc>
        <w:tc>
          <w:tcPr>
            <w:tcW w:w="2258" w:type="dxa"/>
            <w:tcBorders>
              <w:top w:val="single" w:sz="4" w:space="0" w:color="000000"/>
              <w:left w:val="single" w:sz="4" w:space="0" w:color="000000"/>
              <w:bottom w:val="single" w:sz="4" w:space="0" w:color="000000"/>
              <w:right w:val="single" w:sz="4" w:space="0" w:color="000000"/>
            </w:tcBorders>
            <w:vAlign w:val="center"/>
          </w:tcPr>
          <w:p w14:paraId="5551037D"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Relations with the Company</w:t>
            </w:r>
          </w:p>
        </w:tc>
      </w:tr>
      <w:tr w:rsidR="00617AF3" w14:paraId="244E127B" w14:textId="77777777">
        <w:tc>
          <w:tcPr>
            <w:tcW w:w="1034" w:type="dxa"/>
            <w:tcBorders>
              <w:top w:val="single" w:sz="4" w:space="0" w:color="000000"/>
              <w:left w:val="single" w:sz="4" w:space="0" w:color="000000"/>
              <w:bottom w:val="single" w:sz="4" w:space="0" w:color="000000"/>
              <w:right w:val="single" w:sz="4" w:space="0" w:color="000000"/>
            </w:tcBorders>
            <w:vAlign w:val="center"/>
          </w:tcPr>
          <w:p w14:paraId="2D691178" w14:textId="3D3528F0" w:rsidR="00617AF3" w:rsidRDefault="00680988" w:rsidP="00B12B22">
            <w:pPr>
              <w:tabs>
                <w:tab w:val="left" w:pos="567"/>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1</w:t>
            </w:r>
          </w:p>
        </w:tc>
        <w:tc>
          <w:tcPr>
            <w:tcW w:w="3462" w:type="dxa"/>
            <w:tcBorders>
              <w:top w:val="single" w:sz="4" w:space="0" w:color="000000"/>
              <w:left w:val="single" w:sz="4" w:space="0" w:color="000000"/>
              <w:bottom w:val="single" w:sz="4" w:space="0" w:color="000000"/>
              <w:right w:val="single" w:sz="4" w:space="0" w:color="000000"/>
            </w:tcBorders>
            <w:vAlign w:val="center"/>
          </w:tcPr>
          <w:p w14:paraId="32CFEBBB"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The Company’s charter capital (VND)</w:t>
            </w:r>
          </w:p>
        </w:tc>
        <w:tc>
          <w:tcPr>
            <w:tcW w:w="2263" w:type="dxa"/>
            <w:tcBorders>
              <w:top w:val="single" w:sz="4" w:space="0" w:color="000000"/>
              <w:left w:val="single" w:sz="4" w:space="0" w:color="000000"/>
              <w:bottom w:val="single" w:sz="4" w:space="0" w:color="000000"/>
              <w:right w:val="single" w:sz="4" w:space="0" w:color="000000"/>
            </w:tcBorders>
            <w:vAlign w:val="center"/>
          </w:tcPr>
          <w:p w14:paraId="6D93352E"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100,529,200,000</w:t>
            </w:r>
          </w:p>
        </w:tc>
        <w:tc>
          <w:tcPr>
            <w:tcW w:w="2258" w:type="dxa"/>
            <w:tcBorders>
              <w:top w:val="single" w:sz="4" w:space="0" w:color="000000"/>
              <w:left w:val="single" w:sz="4" w:space="0" w:color="000000"/>
              <w:bottom w:val="single" w:sz="4" w:space="0" w:color="000000"/>
              <w:right w:val="single" w:sz="4" w:space="0" w:color="000000"/>
            </w:tcBorders>
            <w:vAlign w:val="center"/>
          </w:tcPr>
          <w:p w14:paraId="436C1428"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150,792,840,000</w:t>
            </w:r>
          </w:p>
        </w:tc>
      </w:tr>
      <w:tr w:rsidR="00617AF3" w14:paraId="69597D4D" w14:textId="77777777">
        <w:tc>
          <w:tcPr>
            <w:tcW w:w="1034" w:type="dxa"/>
            <w:tcBorders>
              <w:top w:val="single" w:sz="4" w:space="0" w:color="000000"/>
              <w:left w:val="single" w:sz="4" w:space="0" w:color="000000"/>
              <w:bottom w:val="single" w:sz="4" w:space="0" w:color="000000"/>
              <w:right w:val="single" w:sz="4" w:space="0" w:color="000000"/>
            </w:tcBorders>
            <w:vAlign w:val="center"/>
          </w:tcPr>
          <w:p w14:paraId="6227CB41" w14:textId="3B705A2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2</w:t>
            </w:r>
          </w:p>
        </w:tc>
        <w:tc>
          <w:tcPr>
            <w:tcW w:w="3462" w:type="dxa"/>
            <w:tcBorders>
              <w:top w:val="single" w:sz="4" w:space="0" w:color="000000"/>
              <w:left w:val="single" w:sz="4" w:space="0" w:color="000000"/>
              <w:bottom w:val="single" w:sz="4" w:space="0" w:color="000000"/>
              <w:right w:val="single" w:sz="4" w:space="0" w:color="000000"/>
            </w:tcBorders>
            <w:vAlign w:val="center"/>
          </w:tcPr>
          <w:p w14:paraId="2BAD5CE6" w14:textId="77777777" w:rsidR="00617AF3" w:rsidRDefault="00680988" w:rsidP="00B12B22">
            <w:pPr>
              <w:pBdr>
                <w:top w:val="nil"/>
                <w:left w:val="nil"/>
                <w:bottom w:val="nil"/>
                <w:right w:val="nil"/>
                <w:between w:val="nil"/>
              </w:pBdr>
              <w:tabs>
                <w:tab w:val="left" w:pos="567"/>
                <w:tab w:val="left" w:pos="3162"/>
                <w:tab w:val="left" w:pos="3362"/>
              </w:tabs>
              <w:spacing w:after="120" w:line="360" w:lineRule="auto"/>
              <w:jc w:val="both"/>
              <w:rPr>
                <w:rFonts w:ascii="Arial" w:eastAsia="Arial" w:hAnsi="Arial" w:cs="Arial"/>
                <w:color w:val="010000"/>
                <w:sz w:val="20"/>
                <w:szCs w:val="20"/>
              </w:rPr>
            </w:pPr>
            <w:r>
              <w:rPr>
                <w:rFonts w:ascii="Arial" w:hAnsi="Arial"/>
                <w:color w:val="010000"/>
                <w:sz w:val="20"/>
              </w:rPr>
              <w:t xml:space="preserve">Common shares   </w:t>
            </w:r>
          </w:p>
        </w:tc>
        <w:tc>
          <w:tcPr>
            <w:tcW w:w="2263" w:type="dxa"/>
            <w:tcBorders>
              <w:top w:val="single" w:sz="4" w:space="0" w:color="000000"/>
              <w:left w:val="single" w:sz="4" w:space="0" w:color="000000"/>
              <w:bottom w:val="single" w:sz="4" w:space="0" w:color="000000"/>
              <w:right w:val="single" w:sz="4" w:space="0" w:color="000000"/>
            </w:tcBorders>
            <w:vAlign w:val="center"/>
          </w:tcPr>
          <w:p w14:paraId="34D1A6B1"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10,052,920</w:t>
            </w:r>
          </w:p>
        </w:tc>
        <w:tc>
          <w:tcPr>
            <w:tcW w:w="2258" w:type="dxa"/>
            <w:tcBorders>
              <w:top w:val="single" w:sz="4" w:space="0" w:color="000000"/>
              <w:left w:val="single" w:sz="4" w:space="0" w:color="000000"/>
              <w:bottom w:val="single" w:sz="4" w:space="0" w:color="000000"/>
              <w:right w:val="single" w:sz="4" w:space="0" w:color="000000"/>
            </w:tcBorders>
            <w:vAlign w:val="center"/>
          </w:tcPr>
          <w:p w14:paraId="69F4A48C"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15,079,284</w:t>
            </w:r>
          </w:p>
        </w:tc>
      </w:tr>
    </w:tbl>
    <w:p w14:paraId="70893623" w14:textId="70AFF3E1" w:rsidR="00617AF3" w:rsidRPr="00680988"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4.</w:t>
      </w:r>
      <w:r w:rsidRPr="00680988">
        <w:rPr>
          <w:rFonts w:ascii="Arial" w:hAnsi="Arial"/>
          <w:color w:val="010000"/>
          <w:sz w:val="20"/>
        </w:rPr>
        <w:t xml:space="preserve"> </w:t>
      </w:r>
      <w:r>
        <w:rPr>
          <w:rFonts w:ascii="Arial" w:hAnsi="Arial"/>
          <w:color w:val="010000"/>
          <w:sz w:val="20"/>
        </w:rPr>
        <w:t>The Board of Directors of the Company: Authorize the Chair of the Board of Directors and the Manager of the Company to complete dossiers and send them to competent State agency:</w:t>
      </w:r>
    </w:p>
    <w:p w14:paraId="5AEEDC04" w14:textId="77777777" w:rsidR="00617AF3" w:rsidRDefault="00680988" w:rsidP="00B12B22">
      <w:pPr>
        <w:numPr>
          <w:ilvl w:val="0"/>
          <w:numId w:val="3"/>
        </w:numPr>
        <w:pBdr>
          <w:top w:val="nil"/>
          <w:left w:val="nil"/>
          <w:bottom w:val="nil"/>
          <w:right w:val="nil"/>
          <w:between w:val="nil"/>
        </w:pBdr>
        <w:tabs>
          <w:tab w:val="left" w:pos="567"/>
          <w:tab w:val="left" w:pos="934"/>
        </w:tabs>
        <w:spacing w:after="120" w:line="360" w:lineRule="auto"/>
        <w:jc w:val="both"/>
        <w:rPr>
          <w:rFonts w:ascii="Arial" w:eastAsia="Arial" w:hAnsi="Arial" w:cs="Arial"/>
          <w:color w:val="010000"/>
          <w:sz w:val="20"/>
          <w:szCs w:val="20"/>
        </w:rPr>
      </w:pPr>
      <w:r>
        <w:rPr>
          <w:rFonts w:ascii="Arial" w:hAnsi="Arial"/>
          <w:color w:val="010000"/>
          <w:sz w:val="20"/>
        </w:rPr>
        <w:t>Register for changing the Company's charter capital on the Business Certificate with the Business Registration Office - Department of Planning and Investment of Yen Bai Province.</w:t>
      </w:r>
    </w:p>
    <w:p w14:paraId="187B76AC" w14:textId="77777777" w:rsidR="00617AF3" w:rsidRDefault="00680988" w:rsidP="00B12B22">
      <w:pPr>
        <w:numPr>
          <w:ilvl w:val="0"/>
          <w:numId w:val="3"/>
        </w:numPr>
        <w:pBdr>
          <w:top w:val="nil"/>
          <w:left w:val="nil"/>
          <w:bottom w:val="nil"/>
          <w:right w:val="nil"/>
          <w:between w:val="nil"/>
        </w:pBdr>
        <w:tabs>
          <w:tab w:val="left" w:pos="567"/>
          <w:tab w:val="left" w:pos="940"/>
        </w:tabs>
        <w:spacing w:after="120" w:line="360" w:lineRule="auto"/>
        <w:jc w:val="both"/>
        <w:rPr>
          <w:rFonts w:ascii="Arial" w:eastAsia="Arial" w:hAnsi="Arial" w:cs="Arial"/>
          <w:color w:val="010000"/>
          <w:sz w:val="20"/>
          <w:szCs w:val="20"/>
        </w:rPr>
      </w:pPr>
      <w:r>
        <w:rPr>
          <w:rFonts w:ascii="Arial" w:hAnsi="Arial"/>
          <w:color w:val="010000"/>
          <w:sz w:val="20"/>
        </w:rPr>
        <w:t>Register for additional depository at the Vietnam Securities Depository and additional listing at Hanoi Stock Exchange.</w:t>
      </w:r>
    </w:p>
    <w:p w14:paraId="53846991" w14:textId="77777777" w:rsidR="00617AF3" w:rsidRDefault="00680988" w:rsidP="00B12B22">
      <w:pPr>
        <w:numPr>
          <w:ilvl w:val="0"/>
          <w:numId w:val="3"/>
        </w:numPr>
        <w:pBdr>
          <w:top w:val="nil"/>
          <w:left w:val="nil"/>
          <w:bottom w:val="nil"/>
          <w:right w:val="nil"/>
          <w:between w:val="nil"/>
        </w:pBdr>
        <w:tabs>
          <w:tab w:val="left" w:pos="567"/>
          <w:tab w:val="left" w:pos="944"/>
        </w:tabs>
        <w:spacing w:after="120" w:line="360" w:lineRule="auto"/>
        <w:jc w:val="both"/>
        <w:rPr>
          <w:rFonts w:ascii="Arial" w:eastAsia="Arial" w:hAnsi="Arial" w:cs="Arial"/>
          <w:color w:val="010000"/>
          <w:sz w:val="20"/>
          <w:szCs w:val="20"/>
        </w:rPr>
      </w:pPr>
      <w:r>
        <w:rPr>
          <w:rFonts w:ascii="Arial" w:hAnsi="Arial"/>
          <w:color w:val="010000"/>
          <w:sz w:val="20"/>
        </w:rPr>
        <w:t>In case these agencies request amendments and supplements, the Chair of the Board of Directors and the Manager of Company can decide the amendments and supplements at the request of the competent State agency.</w:t>
      </w:r>
    </w:p>
    <w:p w14:paraId="19D2CBA6" w14:textId="77777777" w:rsidR="00617AF3" w:rsidRDefault="00680988" w:rsidP="00B12B22">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II: This Resolution takes effect from the date of its signing. Members of the Board of Directors, the Board of Managers, the Supervisory Board, and relevant individuals are responsible for implementing this Resolution.</w:t>
      </w:r>
    </w:p>
    <w:sectPr w:rsidR="00617AF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05E2"/>
    <w:multiLevelType w:val="multilevel"/>
    <w:tmpl w:val="E11EE1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9505B0"/>
    <w:multiLevelType w:val="multilevel"/>
    <w:tmpl w:val="9D2C16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1E9180F"/>
    <w:multiLevelType w:val="multilevel"/>
    <w:tmpl w:val="414C7676"/>
    <w:lvl w:ilvl="0">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F3"/>
    <w:rsid w:val="00617AF3"/>
    <w:rsid w:val="00680988"/>
    <w:rsid w:val="00B12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C30D"/>
  <w15:docId w15:val="{52C86DA1-5D4E-4DDD-A4F6-24199F5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ind w:left="560"/>
    </w:pPr>
    <w:rPr>
      <w:rFonts w:ascii="Times New Roman" w:eastAsia="Times New Roman" w:hAnsi="Times New Roman" w:cs="Times New Roman"/>
      <w:b/>
      <w:bCs/>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b/>
      <w:bCs/>
      <w:sz w:val="34"/>
      <w:szCs w:val="34"/>
    </w:rPr>
  </w:style>
  <w:style w:type="paragraph" w:customStyle="1" w:styleId="Other0">
    <w:name w:val="Other"/>
    <w:basedOn w:val="Normal"/>
    <w:link w:val="Other"/>
    <w:pPr>
      <w:ind w:firstLine="40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locked/>
    <w:rsid w:val="00580FB9"/>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580FB9"/>
    <w:rPr>
      <w:rFonts w:ascii="Times New Roman" w:eastAsia="Times New Roman" w:hAnsi="Times New Roman" w:cs="Times New Roman"/>
      <w:b/>
      <w:bCs/>
      <w:color w:val="auto"/>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8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j3XX5xqTPnWaPpL9aZVub5Rrg==">CgMxLjAyCGguZ2pkZ3hzOAByITFYWlZhQmpBcjVXMldwaTNJNl9CNXhQdGxyVXFFTnozTg==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2024-04-03T04:24:00Z</dcterms:created>
  <dcterms:modified xsi:type="dcterms:W3CDTF">2024-04-04T03:49:00Z</dcterms:modified>
</cp:coreProperties>
</file>