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73D86" w:rsidRDefault="00A73393" w:rsidP="00F37DEF">
      <w:pPr>
        <w:pBdr>
          <w:top w:val="nil"/>
          <w:left w:val="nil"/>
          <w:bottom w:val="nil"/>
          <w:right w:val="nil"/>
          <w:between w:val="nil"/>
        </w:pBdr>
        <w:tabs>
          <w:tab w:val="left" w:pos="4210"/>
        </w:tabs>
        <w:spacing w:after="120" w:line="360" w:lineRule="auto"/>
        <w:jc w:val="both"/>
        <w:rPr>
          <w:rFonts w:ascii="Arial" w:eastAsia="Arial" w:hAnsi="Arial" w:cs="Arial"/>
          <w:b/>
          <w:color w:val="010000"/>
          <w:sz w:val="20"/>
          <w:szCs w:val="20"/>
        </w:rPr>
      </w:pPr>
      <w:r>
        <w:rPr>
          <w:rFonts w:ascii="Arial" w:hAnsi="Arial"/>
          <w:b/>
          <w:color w:val="010000"/>
          <w:sz w:val="20"/>
        </w:rPr>
        <w:t>CMS: Board Resolution</w:t>
      </w:r>
    </w:p>
    <w:p w14:paraId="00000002" w14:textId="77777777" w:rsidR="00C73D86" w:rsidRDefault="00A73393" w:rsidP="00F37DEF">
      <w:pPr>
        <w:pBdr>
          <w:top w:val="nil"/>
          <w:left w:val="nil"/>
          <w:bottom w:val="nil"/>
          <w:right w:val="nil"/>
          <w:between w:val="nil"/>
        </w:pBdr>
        <w:tabs>
          <w:tab w:val="left" w:pos="4210"/>
        </w:tabs>
        <w:spacing w:after="120" w:line="360" w:lineRule="auto"/>
        <w:jc w:val="both"/>
        <w:rPr>
          <w:rFonts w:ascii="Arial" w:eastAsia="Arial" w:hAnsi="Arial" w:cs="Arial"/>
          <w:color w:val="010000"/>
          <w:sz w:val="20"/>
          <w:szCs w:val="20"/>
        </w:rPr>
      </w:pPr>
      <w:r>
        <w:rPr>
          <w:rFonts w:ascii="Arial" w:hAnsi="Arial"/>
          <w:color w:val="010000"/>
          <w:sz w:val="20"/>
        </w:rPr>
        <w:t>On April 2, 2024, CMH Vietnam Group JSC announced Resolution No. 02/2024/NQ-HDQT-CMH as follows:</w:t>
      </w:r>
    </w:p>
    <w:p w14:paraId="00000003" w14:textId="77777777" w:rsidR="00C73D86" w:rsidRDefault="00A73393" w:rsidP="00F37DE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organization time, venue and contents of the Annual General Meeting of Shareholders 2024 of CMH Vietnam Group JSC as follows:</w:t>
      </w:r>
    </w:p>
    <w:p w14:paraId="00000004" w14:textId="77777777" w:rsidR="00C73D86" w:rsidRDefault="00A73393" w:rsidP="00F37DEF">
      <w:pPr>
        <w:numPr>
          <w:ilvl w:val="0"/>
          <w:numId w:val="1"/>
        </w:numPr>
        <w:pBdr>
          <w:top w:val="nil"/>
          <w:left w:val="nil"/>
          <w:bottom w:val="nil"/>
          <w:right w:val="nil"/>
          <w:between w:val="nil"/>
        </w:pBdr>
        <w:tabs>
          <w:tab w:val="left" w:pos="491"/>
        </w:tabs>
        <w:spacing w:after="120" w:line="360" w:lineRule="auto"/>
        <w:jc w:val="both"/>
        <w:rPr>
          <w:rFonts w:ascii="Arial" w:eastAsia="Arial" w:hAnsi="Arial" w:cs="Arial"/>
          <w:color w:val="010000"/>
          <w:sz w:val="20"/>
          <w:szCs w:val="20"/>
        </w:rPr>
      </w:pPr>
      <w:r>
        <w:rPr>
          <w:rFonts w:ascii="Arial" w:hAnsi="Arial"/>
          <w:color w:val="010000"/>
          <w:sz w:val="20"/>
        </w:rPr>
        <w:t>Meeting time:  From 9.00 am, April 27, 2024.</w:t>
      </w:r>
    </w:p>
    <w:p w14:paraId="00000005" w14:textId="77777777" w:rsidR="00C73D86" w:rsidRDefault="00A73393" w:rsidP="00F37DEF">
      <w:pPr>
        <w:numPr>
          <w:ilvl w:val="0"/>
          <w:numId w:val="1"/>
        </w:numPr>
        <w:pBdr>
          <w:top w:val="nil"/>
          <w:left w:val="nil"/>
          <w:bottom w:val="nil"/>
          <w:right w:val="nil"/>
          <w:between w:val="nil"/>
        </w:pBdr>
        <w:tabs>
          <w:tab w:val="left" w:pos="491"/>
        </w:tabs>
        <w:spacing w:after="120" w:line="360" w:lineRule="auto"/>
        <w:jc w:val="both"/>
        <w:rPr>
          <w:rFonts w:ascii="Arial" w:eastAsia="Arial" w:hAnsi="Arial" w:cs="Arial"/>
          <w:color w:val="010000"/>
          <w:sz w:val="20"/>
          <w:szCs w:val="20"/>
        </w:rPr>
      </w:pPr>
      <w:r>
        <w:rPr>
          <w:rFonts w:ascii="Arial" w:hAnsi="Arial"/>
          <w:color w:val="010000"/>
          <w:sz w:val="20"/>
        </w:rPr>
        <w:t xml:space="preserve">Venue: CMH Group's headquarters on the 12th floor, </w:t>
      </w:r>
      <w:proofErr w:type="spellStart"/>
      <w:r>
        <w:rPr>
          <w:rFonts w:ascii="Arial" w:hAnsi="Arial"/>
          <w:color w:val="010000"/>
          <w:sz w:val="20"/>
        </w:rPr>
        <w:t>Intracom</w:t>
      </w:r>
      <w:proofErr w:type="spellEnd"/>
      <w:r>
        <w:rPr>
          <w:rFonts w:ascii="Arial" w:hAnsi="Arial"/>
          <w:color w:val="010000"/>
          <w:sz w:val="20"/>
        </w:rPr>
        <w:t xml:space="preserve"> 2 Office Building, No. 33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Ward,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City.</w:t>
      </w:r>
    </w:p>
    <w:p w14:paraId="00000006" w14:textId="77777777" w:rsidR="00C73D86" w:rsidRDefault="00A73393" w:rsidP="00F37DEF">
      <w:pPr>
        <w:numPr>
          <w:ilvl w:val="0"/>
          <w:numId w:val="1"/>
        </w:numPr>
        <w:pBdr>
          <w:top w:val="nil"/>
          <w:left w:val="nil"/>
          <w:bottom w:val="nil"/>
          <w:right w:val="nil"/>
          <w:between w:val="nil"/>
        </w:pBdr>
        <w:tabs>
          <w:tab w:val="left" w:pos="491"/>
        </w:tabs>
        <w:spacing w:after="120" w:line="360" w:lineRule="auto"/>
        <w:jc w:val="both"/>
        <w:rPr>
          <w:rFonts w:ascii="Arial" w:eastAsia="Arial" w:hAnsi="Arial" w:cs="Arial"/>
          <w:color w:val="010000"/>
          <w:sz w:val="20"/>
          <w:szCs w:val="20"/>
        </w:rPr>
      </w:pPr>
      <w:r>
        <w:rPr>
          <w:rFonts w:ascii="Arial" w:hAnsi="Arial"/>
          <w:color w:val="010000"/>
          <w:sz w:val="20"/>
        </w:rPr>
        <w:t>Participant: Shareholders whose names are in the comprehensive list of securities owners exercising voting rights at the record date March 25, 2024 prepared by Vietnam Securities Depository and Clearing Corporation.</w:t>
      </w:r>
    </w:p>
    <w:p w14:paraId="00000007" w14:textId="77777777" w:rsidR="00C73D86" w:rsidRDefault="00A73393" w:rsidP="00F37DEF">
      <w:pPr>
        <w:numPr>
          <w:ilvl w:val="0"/>
          <w:numId w:val="1"/>
        </w:numPr>
        <w:pBdr>
          <w:top w:val="nil"/>
          <w:left w:val="nil"/>
          <w:bottom w:val="nil"/>
          <w:right w:val="nil"/>
          <w:between w:val="nil"/>
        </w:pBdr>
        <w:tabs>
          <w:tab w:val="left" w:pos="491"/>
        </w:tabs>
        <w:spacing w:after="120" w:line="360" w:lineRule="auto"/>
        <w:jc w:val="both"/>
        <w:rPr>
          <w:rFonts w:ascii="Arial" w:eastAsia="Arial" w:hAnsi="Arial" w:cs="Arial"/>
          <w:color w:val="010000"/>
          <w:sz w:val="20"/>
          <w:szCs w:val="20"/>
        </w:rPr>
      </w:pPr>
      <w:r>
        <w:rPr>
          <w:rFonts w:ascii="Arial" w:hAnsi="Arial"/>
          <w:color w:val="010000"/>
          <w:sz w:val="20"/>
        </w:rPr>
        <w:t>Contents to be considered and discussed for approval at the Meeting:</w:t>
      </w:r>
    </w:p>
    <w:p w14:paraId="00000008" w14:textId="0638D15C"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Board of Directors in 2023 and the plan 2024.</w:t>
      </w:r>
    </w:p>
    <w:p w14:paraId="00000009" w14:textId="77777777"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Board of Management in 2023 an</w:t>
      </w:r>
      <w:bookmarkStart w:id="0" w:name="_GoBack"/>
      <w:bookmarkEnd w:id="0"/>
      <w:r>
        <w:rPr>
          <w:rFonts w:ascii="Arial" w:hAnsi="Arial"/>
          <w:color w:val="010000"/>
          <w:sz w:val="20"/>
        </w:rPr>
        <w:t>d the production and business plan for 2024.</w:t>
      </w:r>
    </w:p>
    <w:p w14:paraId="0000000A" w14:textId="77777777"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Audit Committee in 2023 and the plan for 2024;</w:t>
      </w:r>
    </w:p>
    <w:p w14:paraId="0000000B" w14:textId="77777777"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 on production and business results in 2023 and the business plan for 2024.</w:t>
      </w:r>
    </w:p>
    <w:p w14:paraId="0000000C" w14:textId="30DF6BF4"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Settlement report on the use of proceeds from the private placement to increase the Company's charter capital in 2022.</w:t>
      </w:r>
    </w:p>
    <w:p w14:paraId="0000000D" w14:textId="0250C3E1"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Company's Audited Financial Statements 2023 and profit distribution plan 2023.</w:t>
      </w:r>
    </w:p>
    <w:p w14:paraId="0000000E" w14:textId="77777777"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Proposal on selecting an audit company for the Financial Statements 2024;</w:t>
      </w:r>
    </w:p>
    <w:p w14:paraId="0000000F" w14:textId="77777777" w:rsidR="00C73D86" w:rsidRDefault="00A73393" w:rsidP="00F37DE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contents under the authority of the General Meeting of Shareholders (if any).</w:t>
      </w:r>
    </w:p>
    <w:p w14:paraId="00000010" w14:textId="6F774CC7" w:rsidR="00C73D86" w:rsidRDefault="00A73393" w:rsidP="00F37DE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Assign Mr. Kim Ngoc </w:t>
      </w:r>
      <w:proofErr w:type="spellStart"/>
      <w:r>
        <w:rPr>
          <w:rFonts w:ascii="Arial" w:hAnsi="Arial"/>
          <w:color w:val="010000"/>
          <w:sz w:val="20"/>
        </w:rPr>
        <w:t>Nhan</w:t>
      </w:r>
      <w:proofErr w:type="spellEnd"/>
      <w:r>
        <w:rPr>
          <w:rFonts w:ascii="Arial" w:hAnsi="Arial"/>
          <w:color w:val="010000"/>
          <w:sz w:val="20"/>
        </w:rPr>
        <w:t xml:space="preserve"> - Member of the Board of Directors and General Manager to establish the Organizing Committee of the Annual General Meeting of Shareholders 2024 and organize the Annual General Meeting of Shareholders 2024 in accordance with the provisions of law and the Company's Charter.</w:t>
      </w:r>
    </w:p>
    <w:p w14:paraId="00000011" w14:textId="77777777" w:rsidR="00C73D86" w:rsidRDefault="00A73393" w:rsidP="00F37DEF">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3. This Resolution takes effect from the date of its signing. The Board of Directors, the Board of Management and related departments are responsible for the implementation of this Resolution.</w:t>
      </w:r>
    </w:p>
    <w:sectPr w:rsidR="00C73D8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A5621"/>
    <w:multiLevelType w:val="multilevel"/>
    <w:tmpl w:val="FA3C56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C4343FA"/>
    <w:multiLevelType w:val="multilevel"/>
    <w:tmpl w:val="1D26C3A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86"/>
    <w:rsid w:val="00A73393"/>
    <w:rsid w:val="00C73D86"/>
    <w:rsid w:val="00F3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6A30"/>
  <w15:docId w15:val="{8CCFB837-B88D-4C4E-8424-9AF05219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ruWa43ciJJqeV1Y6fn3bJWhNLA==">CgMxLjAyCGguZ2pkZ3hzOAByITExZDcwZVAtbTVvWjR5WFFsc1RYcVVEQUgyTzZqR3ltUw==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2024-04-04T04:41:00Z</dcterms:created>
  <dcterms:modified xsi:type="dcterms:W3CDTF">2024-04-05T09:31:00Z</dcterms:modified>
</cp:coreProperties>
</file>