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07D5" w:rsidRDefault="00967B76">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Pr>
          <w:rFonts w:ascii="Arial" w:hAnsi="Arial"/>
          <w:b/>
          <w:bCs/>
          <w:color w:val="010000"/>
          <w:sz w:val="20"/>
        </w:rPr>
        <w:t>DC1:</w:t>
      </w:r>
      <w:r>
        <w:rPr>
          <w:rFonts w:ascii="Arial" w:hAnsi="Arial"/>
          <w:b/>
          <w:color w:val="010000"/>
          <w:sz w:val="20"/>
        </w:rPr>
        <w:t xml:space="preserve"> Board Resolution</w:t>
      </w:r>
    </w:p>
    <w:p w14:paraId="00000002" w14:textId="0620D14B" w:rsidR="006A07D5" w:rsidRDefault="00967B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On March 29, 2024, Development Investment Construction number 1 Joint Stock Company announced Resolution No. 33/2024/NQ/DIC No1-HDQT-NKIV on approving the time, venue, agenda, document dossier, and list of the Shareholder's Eligibility Verification Committee at the Annual General Meeting of Shareholders 2024 as follows:</w:t>
      </w:r>
    </w:p>
    <w:p w14:paraId="00000003" w14:textId="77777777" w:rsidR="006A07D5" w:rsidRDefault="00967B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1: Approve the time and venue of the Annual General Meeting of Shareholders 2024:</w:t>
      </w:r>
    </w:p>
    <w:p w14:paraId="00000004" w14:textId="56F0D935" w:rsidR="006A07D5" w:rsidRDefault="00967B76">
      <w:pPr>
        <w:numPr>
          <w:ilvl w:val="0"/>
          <w:numId w:val="4"/>
        </w:numPr>
        <w:pBdr>
          <w:top w:val="nil"/>
          <w:left w:val="nil"/>
          <w:bottom w:val="nil"/>
          <w:right w:val="nil"/>
          <w:between w:val="nil"/>
        </w:pBdr>
        <w:tabs>
          <w:tab w:val="left" w:pos="284"/>
          <w:tab w:val="left" w:pos="426"/>
          <w:tab w:val="left" w:pos="1100"/>
        </w:tabs>
        <w:spacing w:after="120" w:line="360" w:lineRule="auto"/>
        <w:jc w:val="both"/>
        <w:rPr>
          <w:rFonts w:ascii="Arial" w:eastAsia="Arial" w:hAnsi="Arial" w:cs="Arial"/>
          <w:color w:val="010000"/>
          <w:sz w:val="20"/>
          <w:szCs w:val="20"/>
        </w:rPr>
      </w:pPr>
      <w:r>
        <w:rPr>
          <w:rFonts w:ascii="Arial" w:hAnsi="Arial"/>
          <w:color w:val="010000"/>
          <w:sz w:val="20"/>
        </w:rPr>
        <w:t>Event time of the Annual General Meeting of Shareholders 2021: From 7:30 a.m. to 11:30 a.m. on April 24, 2024;</w:t>
      </w:r>
    </w:p>
    <w:p w14:paraId="00000005" w14:textId="77777777" w:rsidR="006A07D5" w:rsidRDefault="00967B76">
      <w:pPr>
        <w:numPr>
          <w:ilvl w:val="0"/>
          <w:numId w:val="4"/>
        </w:numPr>
        <w:pBdr>
          <w:top w:val="nil"/>
          <w:left w:val="nil"/>
          <w:bottom w:val="nil"/>
          <w:right w:val="nil"/>
          <w:between w:val="nil"/>
        </w:pBdr>
        <w:tabs>
          <w:tab w:val="left" w:pos="284"/>
          <w:tab w:val="left" w:pos="426"/>
          <w:tab w:val="left" w:pos="1105"/>
        </w:tabs>
        <w:spacing w:after="120" w:line="360" w:lineRule="auto"/>
        <w:jc w:val="both"/>
        <w:rPr>
          <w:rFonts w:ascii="Arial" w:eastAsia="Arial" w:hAnsi="Arial" w:cs="Arial"/>
          <w:color w:val="010000"/>
          <w:sz w:val="20"/>
          <w:szCs w:val="20"/>
        </w:rPr>
      </w:pPr>
      <w:r>
        <w:rPr>
          <w:rFonts w:ascii="Arial" w:hAnsi="Arial"/>
          <w:color w:val="010000"/>
          <w:sz w:val="20"/>
        </w:rPr>
        <w:t xml:space="preserve">Venue: AURORA Event Center, CSJ Tower, 169 Thuy Van Street, Ward 8, </w:t>
      </w:r>
      <w:proofErr w:type="spellStart"/>
      <w:r>
        <w:rPr>
          <w:rFonts w:ascii="Arial" w:hAnsi="Arial"/>
          <w:color w:val="010000"/>
          <w:sz w:val="20"/>
        </w:rPr>
        <w:t>Vung</w:t>
      </w:r>
      <w:proofErr w:type="spellEnd"/>
      <w:r>
        <w:rPr>
          <w:rFonts w:ascii="Arial" w:hAnsi="Arial"/>
          <w:color w:val="010000"/>
          <w:sz w:val="20"/>
        </w:rPr>
        <w:t xml:space="preserve"> Tau City.</w:t>
      </w:r>
    </w:p>
    <w:p w14:paraId="00000006" w14:textId="77777777" w:rsidR="006A07D5" w:rsidRDefault="00967B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2: Approval of the agenda and content of the document dossier for the Annual General Meeting of Shareholders 2024:</w:t>
      </w:r>
    </w:p>
    <w:p w14:paraId="00000007" w14:textId="77777777" w:rsidR="006A07D5" w:rsidRDefault="00967B76">
      <w:pPr>
        <w:numPr>
          <w:ilvl w:val="0"/>
          <w:numId w:val="5"/>
        </w:numPr>
        <w:pBdr>
          <w:top w:val="nil"/>
          <w:left w:val="nil"/>
          <w:bottom w:val="nil"/>
          <w:right w:val="nil"/>
          <w:between w:val="nil"/>
        </w:pBdr>
        <w:tabs>
          <w:tab w:val="left" w:pos="284"/>
          <w:tab w:val="left" w:pos="1676"/>
          <w:tab w:val="left" w:pos="8112"/>
        </w:tabs>
        <w:spacing w:after="120" w:line="360" w:lineRule="auto"/>
        <w:jc w:val="both"/>
        <w:rPr>
          <w:rFonts w:ascii="Arial" w:eastAsia="Arial" w:hAnsi="Arial" w:cs="Arial"/>
          <w:color w:val="010000"/>
          <w:sz w:val="20"/>
          <w:szCs w:val="20"/>
        </w:rPr>
      </w:pPr>
      <w:r>
        <w:rPr>
          <w:rFonts w:ascii="Arial" w:hAnsi="Arial"/>
          <w:color w:val="010000"/>
          <w:sz w:val="20"/>
        </w:rPr>
        <w:t>The agenda of the General Meeting includes 14 items;</w:t>
      </w:r>
    </w:p>
    <w:p w14:paraId="00000008" w14:textId="77777777" w:rsidR="006A07D5" w:rsidRDefault="00967B76">
      <w:pPr>
        <w:numPr>
          <w:ilvl w:val="0"/>
          <w:numId w:val="5"/>
        </w:numPr>
        <w:pBdr>
          <w:top w:val="nil"/>
          <w:left w:val="nil"/>
          <w:bottom w:val="nil"/>
          <w:right w:val="nil"/>
          <w:between w:val="nil"/>
        </w:pBdr>
        <w:tabs>
          <w:tab w:val="left" w:pos="284"/>
          <w:tab w:val="left" w:pos="1676"/>
        </w:tabs>
        <w:spacing w:after="120" w:line="360" w:lineRule="auto"/>
        <w:jc w:val="both"/>
        <w:rPr>
          <w:rFonts w:ascii="Arial" w:eastAsia="Arial" w:hAnsi="Arial" w:cs="Arial"/>
          <w:color w:val="010000"/>
          <w:sz w:val="20"/>
          <w:szCs w:val="20"/>
        </w:rPr>
      </w:pPr>
      <w:r>
        <w:rPr>
          <w:rFonts w:ascii="Arial" w:hAnsi="Arial"/>
          <w:color w:val="010000"/>
          <w:sz w:val="20"/>
        </w:rPr>
        <w:t>Accompanying Forms: Registration and authorization form for attendance; voting cards and ballots for voting at the General Meeting of Shareholders;</w:t>
      </w:r>
    </w:p>
    <w:p w14:paraId="00000009" w14:textId="77777777" w:rsidR="006A07D5" w:rsidRDefault="00967B76">
      <w:pPr>
        <w:numPr>
          <w:ilvl w:val="0"/>
          <w:numId w:val="5"/>
        </w:numPr>
        <w:pBdr>
          <w:top w:val="nil"/>
          <w:left w:val="nil"/>
          <w:bottom w:val="nil"/>
          <w:right w:val="nil"/>
          <w:between w:val="nil"/>
        </w:pBdr>
        <w:tabs>
          <w:tab w:val="left" w:pos="284"/>
          <w:tab w:val="left" w:pos="1676"/>
        </w:tabs>
        <w:spacing w:after="120" w:line="360" w:lineRule="auto"/>
        <w:jc w:val="both"/>
        <w:rPr>
          <w:rFonts w:ascii="Arial" w:eastAsia="Arial" w:hAnsi="Arial" w:cs="Arial"/>
          <w:color w:val="010000"/>
          <w:sz w:val="20"/>
          <w:szCs w:val="20"/>
        </w:rPr>
      </w:pPr>
      <w:r>
        <w:rPr>
          <w:rFonts w:ascii="Arial" w:hAnsi="Arial"/>
          <w:color w:val="010000"/>
          <w:sz w:val="20"/>
        </w:rPr>
        <w:t>Working regulations, principles and rules for voting, vote counting; Election regulations at the General Meeting of Shareholders;</w:t>
      </w:r>
    </w:p>
    <w:p w14:paraId="0000000A" w14:textId="77777777" w:rsidR="006A07D5" w:rsidRDefault="00967B76">
      <w:pPr>
        <w:numPr>
          <w:ilvl w:val="0"/>
          <w:numId w:val="5"/>
        </w:numPr>
        <w:pBdr>
          <w:top w:val="nil"/>
          <w:left w:val="nil"/>
          <w:bottom w:val="nil"/>
          <w:right w:val="nil"/>
          <w:between w:val="nil"/>
        </w:pBdr>
        <w:tabs>
          <w:tab w:val="left" w:pos="284"/>
          <w:tab w:val="left" w:pos="1676"/>
        </w:tabs>
        <w:spacing w:after="120" w:line="360" w:lineRule="auto"/>
        <w:jc w:val="both"/>
        <w:rPr>
          <w:rFonts w:ascii="Arial" w:eastAsia="Arial" w:hAnsi="Arial" w:cs="Arial"/>
          <w:color w:val="010000"/>
          <w:sz w:val="20"/>
          <w:szCs w:val="20"/>
        </w:rPr>
      </w:pPr>
      <w:r>
        <w:rPr>
          <w:rFonts w:ascii="Arial" w:hAnsi="Arial"/>
          <w:color w:val="010000"/>
          <w:sz w:val="20"/>
        </w:rPr>
        <w:t>Proposal on the list of the Chair's Delegation, Secretariat, and Vote Counting Committee;</w:t>
      </w:r>
    </w:p>
    <w:p w14:paraId="0000000B" w14:textId="77777777" w:rsidR="006A07D5" w:rsidRDefault="00967B76">
      <w:pPr>
        <w:numPr>
          <w:ilvl w:val="0"/>
          <w:numId w:val="5"/>
        </w:numPr>
        <w:pBdr>
          <w:top w:val="nil"/>
          <w:left w:val="nil"/>
          <w:bottom w:val="nil"/>
          <w:right w:val="nil"/>
          <w:between w:val="nil"/>
        </w:pBdr>
        <w:tabs>
          <w:tab w:val="left" w:pos="284"/>
          <w:tab w:val="left" w:pos="1676"/>
        </w:tabs>
        <w:spacing w:after="120" w:line="360" w:lineRule="auto"/>
        <w:jc w:val="both"/>
        <w:rPr>
          <w:rFonts w:ascii="Arial" w:eastAsia="Arial" w:hAnsi="Arial" w:cs="Arial"/>
          <w:color w:val="010000"/>
          <w:sz w:val="20"/>
          <w:szCs w:val="20"/>
        </w:rPr>
      </w:pPr>
      <w:r>
        <w:rPr>
          <w:rFonts w:ascii="Arial" w:hAnsi="Arial"/>
          <w:color w:val="010000"/>
          <w:sz w:val="20"/>
        </w:rPr>
        <w:t>Annual report 2023 by the Board of Managers on the results of operational activities in 2023 and the production and business plan for 2024;</w:t>
      </w:r>
    </w:p>
    <w:p w14:paraId="0000000C" w14:textId="77777777" w:rsidR="006A07D5" w:rsidRDefault="00967B76">
      <w:pPr>
        <w:numPr>
          <w:ilvl w:val="0"/>
          <w:numId w:val="5"/>
        </w:numPr>
        <w:pBdr>
          <w:top w:val="nil"/>
          <w:left w:val="nil"/>
          <w:bottom w:val="nil"/>
          <w:right w:val="nil"/>
          <w:between w:val="nil"/>
        </w:pBdr>
        <w:tabs>
          <w:tab w:val="left" w:pos="284"/>
          <w:tab w:val="left" w:pos="1676"/>
        </w:tabs>
        <w:spacing w:after="120" w:line="360" w:lineRule="auto"/>
        <w:jc w:val="both"/>
        <w:rPr>
          <w:rFonts w:ascii="Arial" w:eastAsia="Arial" w:hAnsi="Arial" w:cs="Arial"/>
          <w:color w:val="010000"/>
          <w:sz w:val="20"/>
          <w:szCs w:val="20"/>
        </w:rPr>
      </w:pPr>
      <w:r>
        <w:rPr>
          <w:rFonts w:ascii="Arial" w:hAnsi="Arial"/>
          <w:color w:val="010000"/>
          <w:sz w:val="20"/>
        </w:rPr>
        <w:t>Report on the Corporate Governance in 2023 by the Board of Directors;</w:t>
      </w:r>
    </w:p>
    <w:p w14:paraId="0000000D" w14:textId="77777777" w:rsidR="006A07D5" w:rsidRDefault="00967B76">
      <w:pPr>
        <w:numPr>
          <w:ilvl w:val="0"/>
          <w:numId w:val="5"/>
        </w:numPr>
        <w:pBdr>
          <w:top w:val="nil"/>
          <w:left w:val="nil"/>
          <w:bottom w:val="nil"/>
          <w:right w:val="nil"/>
          <w:between w:val="nil"/>
        </w:pBdr>
        <w:tabs>
          <w:tab w:val="left" w:pos="284"/>
          <w:tab w:val="left" w:pos="1676"/>
        </w:tabs>
        <w:spacing w:after="120" w:line="360" w:lineRule="auto"/>
        <w:jc w:val="both"/>
        <w:rPr>
          <w:rFonts w:ascii="Arial" w:eastAsia="Arial" w:hAnsi="Arial" w:cs="Arial"/>
          <w:color w:val="010000"/>
          <w:sz w:val="20"/>
          <w:szCs w:val="20"/>
        </w:rPr>
      </w:pPr>
      <w:r>
        <w:rPr>
          <w:rFonts w:ascii="Arial" w:hAnsi="Arial"/>
          <w:color w:val="010000"/>
          <w:sz w:val="20"/>
        </w:rPr>
        <w:t>Audited Financial Statements 2023;</w:t>
      </w:r>
    </w:p>
    <w:p w14:paraId="0000000E" w14:textId="77777777" w:rsidR="006A07D5" w:rsidRDefault="00967B76">
      <w:pPr>
        <w:numPr>
          <w:ilvl w:val="0"/>
          <w:numId w:val="5"/>
        </w:numPr>
        <w:pBdr>
          <w:top w:val="nil"/>
          <w:left w:val="nil"/>
          <w:bottom w:val="nil"/>
          <w:right w:val="nil"/>
          <w:between w:val="nil"/>
        </w:pBdr>
        <w:tabs>
          <w:tab w:val="left" w:pos="284"/>
          <w:tab w:val="left" w:pos="1676"/>
        </w:tabs>
        <w:spacing w:after="120" w:line="360" w:lineRule="auto"/>
        <w:jc w:val="both"/>
        <w:rPr>
          <w:rFonts w:ascii="Arial" w:eastAsia="Arial" w:hAnsi="Arial" w:cs="Arial"/>
          <w:color w:val="010000"/>
          <w:sz w:val="20"/>
          <w:szCs w:val="20"/>
        </w:rPr>
      </w:pPr>
      <w:r>
        <w:rPr>
          <w:rFonts w:ascii="Arial" w:hAnsi="Arial"/>
          <w:color w:val="010000"/>
          <w:sz w:val="20"/>
        </w:rPr>
        <w:t>Report by the Supervisory Board on supervisory activities in 2023 and the plan for 2024;</w:t>
      </w:r>
    </w:p>
    <w:p w14:paraId="0000000F" w14:textId="053B9D32" w:rsidR="006A07D5" w:rsidRDefault="00967B76">
      <w:pPr>
        <w:numPr>
          <w:ilvl w:val="0"/>
          <w:numId w:val="5"/>
        </w:numPr>
        <w:pBdr>
          <w:top w:val="nil"/>
          <w:left w:val="nil"/>
          <w:bottom w:val="nil"/>
          <w:right w:val="nil"/>
          <w:between w:val="nil"/>
        </w:pBdr>
        <w:tabs>
          <w:tab w:val="left" w:pos="284"/>
          <w:tab w:val="left" w:pos="1691"/>
        </w:tabs>
        <w:spacing w:after="120" w:line="360" w:lineRule="auto"/>
        <w:jc w:val="both"/>
        <w:rPr>
          <w:rFonts w:ascii="Arial" w:eastAsia="Arial" w:hAnsi="Arial" w:cs="Arial"/>
          <w:color w:val="010000"/>
          <w:sz w:val="20"/>
          <w:szCs w:val="20"/>
        </w:rPr>
      </w:pPr>
      <w:r>
        <w:rPr>
          <w:rFonts w:ascii="Arial" w:hAnsi="Arial"/>
          <w:color w:val="010000"/>
          <w:sz w:val="20"/>
        </w:rPr>
        <w:t>Report on the settlement of salary payments for the Chair of the Board of Directors and remuneration for members of the Board of Directors, the Supervisory Board, and the Company’s Secretariat in 2023, and approval of the salary and remuneration plan for 2024;</w:t>
      </w:r>
    </w:p>
    <w:p w14:paraId="00000010" w14:textId="77777777" w:rsidR="006A07D5" w:rsidRDefault="00967B76">
      <w:pPr>
        <w:numPr>
          <w:ilvl w:val="0"/>
          <w:numId w:val="5"/>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Pr>
          <w:rFonts w:ascii="Arial" w:hAnsi="Arial"/>
          <w:color w:val="010000"/>
          <w:sz w:val="20"/>
        </w:rPr>
        <w:t>Approval of the limit for short-term credit borrowing for 2024-2025;</w:t>
      </w:r>
    </w:p>
    <w:p w14:paraId="00000011" w14:textId="77777777" w:rsidR="006A07D5" w:rsidRDefault="00967B76">
      <w:pPr>
        <w:numPr>
          <w:ilvl w:val="0"/>
          <w:numId w:val="5"/>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Pr>
          <w:rFonts w:ascii="Arial" w:hAnsi="Arial"/>
          <w:color w:val="010000"/>
          <w:sz w:val="20"/>
        </w:rPr>
        <w:t>Report on repayment of principal and interest on loans for employees and their relatives in 2023;</w:t>
      </w:r>
    </w:p>
    <w:p w14:paraId="00000012" w14:textId="0DBE6375" w:rsidR="006A07D5" w:rsidRDefault="00967B76">
      <w:pPr>
        <w:numPr>
          <w:ilvl w:val="0"/>
          <w:numId w:val="5"/>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Pr>
          <w:rFonts w:ascii="Arial" w:hAnsi="Arial"/>
          <w:color w:val="010000"/>
          <w:sz w:val="20"/>
        </w:rPr>
        <w:t>Report on transaction con</w:t>
      </w:r>
      <w:r w:rsidR="000B3DBF">
        <w:rPr>
          <w:rFonts w:ascii="Arial" w:hAnsi="Arial"/>
          <w:color w:val="010000"/>
          <w:sz w:val="20"/>
        </w:rPr>
        <w:t xml:space="preserve">tracts between the company and </w:t>
      </w:r>
      <w:bookmarkStart w:id="0" w:name="_GoBack"/>
      <w:bookmarkEnd w:id="0"/>
      <w:r>
        <w:rPr>
          <w:rFonts w:ascii="Arial" w:hAnsi="Arial"/>
          <w:color w:val="010000"/>
          <w:sz w:val="20"/>
        </w:rPr>
        <w:t>Development Investment Construction J.S Corporation (DIC Group) in 2023 and submission for authorization to sign transaction contracts with DIC Group in 2024.</w:t>
      </w:r>
    </w:p>
    <w:p w14:paraId="00000013" w14:textId="77777777" w:rsidR="006A07D5" w:rsidRDefault="00967B76">
      <w:pPr>
        <w:numPr>
          <w:ilvl w:val="0"/>
          <w:numId w:val="5"/>
        </w:numPr>
        <w:pBdr>
          <w:top w:val="nil"/>
          <w:left w:val="nil"/>
          <w:bottom w:val="nil"/>
          <w:right w:val="nil"/>
          <w:between w:val="nil"/>
        </w:pBdr>
        <w:tabs>
          <w:tab w:val="left" w:pos="284"/>
          <w:tab w:val="left" w:pos="426"/>
        </w:tabs>
        <w:spacing w:after="120" w:line="360" w:lineRule="auto"/>
        <w:jc w:val="both"/>
        <w:rPr>
          <w:rFonts w:ascii="Arial" w:eastAsia="Arial" w:hAnsi="Arial" w:cs="Arial"/>
          <w:color w:val="010000"/>
          <w:sz w:val="20"/>
          <w:szCs w:val="20"/>
        </w:rPr>
      </w:pPr>
      <w:r>
        <w:rPr>
          <w:rFonts w:ascii="Arial" w:hAnsi="Arial"/>
          <w:color w:val="010000"/>
          <w:sz w:val="20"/>
        </w:rPr>
        <w:t>Proposal on approving the allocation of bonuses to the Board of Directors and Executive Board if the profit after tax in 2024 exceeds the General Meeting of Shareholders' plan.</w:t>
      </w:r>
    </w:p>
    <w:p w14:paraId="00000014" w14:textId="77777777" w:rsidR="006A07D5" w:rsidRDefault="00967B76">
      <w:pPr>
        <w:numPr>
          <w:ilvl w:val="0"/>
          <w:numId w:val="5"/>
        </w:numPr>
        <w:pBdr>
          <w:top w:val="nil"/>
          <w:left w:val="nil"/>
          <w:bottom w:val="nil"/>
          <w:right w:val="nil"/>
          <w:between w:val="nil"/>
        </w:pBdr>
        <w:tabs>
          <w:tab w:val="left" w:pos="284"/>
          <w:tab w:val="left" w:pos="426"/>
          <w:tab w:val="left" w:pos="1691"/>
        </w:tabs>
        <w:spacing w:after="120" w:line="360" w:lineRule="auto"/>
        <w:jc w:val="both"/>
        <w:rPr>
          <w:rFonts w:ascii="Arial" w:eastAsia="Arial" w:hAnsi="Arial" w:cs="Arial"/>
          <w:color w:val="010000"/>
          <w:sz w:val="20"/>
          <w:szCs w:val="20"/>
        </w:rPr>
      </w:pPr>
      <w:r>
        <w:rPr>
          <w:rFonts w:ascii="Arial" w:hAnsi="Arial"/>
          <w:color w:val="010000"/>
          <w:sz w:val="20"/>
        </w:rPr>
        <w:t>Proposal on approving the profit after tax distribution plan in 2023;</w:t>
      </w:r>
    </w:p>
    <w:p w14:paraId="00000015" w14:textId="69B7C376" w:rsidR="006A07D5" w:rsidRDefault="00967B76">
      <w:pPr>
        <w:numPr>
          <w:ilvl w:val="0"/>
          <w:numId w:val="5"/>
        </w:numPr>
        <w:pBdr>
          <w:top w:val="nil"/>
          <w:left w:val="nil"/>
          <w:bottom w:val="nil"/>
          <w:right w:val="nil"/>
          <w:between w:val="nil"/>
        </w:pBdr>
        <w:tabs>
          <w:tab w:val="left" w:pos="284"/>
          <w:tab w:val="left" w:pos="426"/>
          <w:tab w:val="left" w:pos="1691"/>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lastRenderedPageBreak/>
        <w:t>Proposal on the dismissal of Ms. Le Thu Trang, a member of the Board of Directors, and Mr. Tran Thanh Lam, a member of the Supervisory Board for the term of 2022-2027.</w:t>
      </w:r>
    </w:p>
    <w:p w14:paraId="00000016" w14:textId="22C95319" w:rsidR="006A07D5" w:rsidRDefault="00967B76">
      <w:pPr>
        <w:numPr>
          <w:ilvl w:val="0"/>
          <w:numId w:val="5"/>
        </w:numPr>
        <w:pBdr>
          <w:top w:val="nil"/>
          <w:left w:val="nil"/>
          <w:bottom w:val="nil"/>
          <w:right w:val="nil"/>
          <w:between w:val="nil"/>
        </w:pBdr>
        <w:tabs>
          <w:tab w:val="left" w:pos="284"/>
          <w:tab w:val="left" w:pos="426"/>
          <w:tab w:val="left" w:pos="1691"/>
        </w:tabs>
        <w:spacing w:after="120" w:line="360" w:lineRule="auto"/>
        <w:jc w:val="both"/>
        <w:rPr>
          <w:rFonts w:ascii="Arial" w:eastAsia="Arial" w:hAnsi="Arial" w:cs="Arial"/>
          <w:color w:val="010000"/>
          <w:sz w:val="20"/>
          <w:szCs w:val="20"/>
        </w:rPr>
      </w:pPr>
      <w:r>
        <w:rPr>
          <w:rFonts w:ascii="Arial" w:hAnsi="Arial"/>
          <w:color w:val="010000"/>
          <w:sz w:val="20"/>
        </w:rPr>
        <w:t>Proposal on the appointment of additional members of the Board of Directors and Supervisory Board for the term of 2022-2027.</w:t>
      </w:r>
    </w:p>
    <w:p w14:paraId="00000017" w14:textId="77777777" w:rsidR="006A07D5" w:rsidRDefault="00967B76">
      <w:pPr>
        <w:numPr>
          <w:ilvl w:val="0"/>
          <w:numId w:val="5"/>
        </w:numPr>
        <w:pBdr>
          <w:top w:val="nil"/>
          <w:left w:val="nil"/>
          <w:bottom w:val="nil"/>
          <w:right w:val="nil"/>
          <w:between w:val="nil"/>
        </w:pBdr>
        <w:tabs>
          <w:tab w:val="left" w:pos="284"/>
          <w:tab w:val="left" w:pos="426"/>
          <w:tab w:val="left" w:pos="1691"/>
        </w:tabs>
        <w:spacing w:after="120" w:line="360" w:lineRule="auto"/>
        <w:jc w:val="both"/>
        <w:rPr>
          <w:rFonts w:ascii="Arial" w:eastAsia="Arial" w:hAnsi="Arial" w:cs="Arial"/>
          <w:color w:val="010000"/>
          <w:sz w:val="20"/>
          <w:szCs w:val="20"/>
        </w:rPr>
      </w:pPr>
      <w:r>
        <w:rPr>
          <w:rFonts w:ascii="Arial" w:hAnsi="Arial"/>
          <w:color w:val="010000"/>
          <w:sz w:val="20"/>
        </w:rPr>
        <w:t>Proposal on the investment and liquidation plan for 2024;</w:t>
      </w:r>
    </w:p>
    <w:p w14:paraId="00000018" w14:textId="77777777" w:rsidR="006A07D5" w:rsidRDefault="00967B76">
      <w:pPr>
        <w:numPr>
          <w:ilvl w:val="0"/>
          <w:numId w:val="5"/>
        </w:numPr>
        <w:pBdr>
          <w:top w:val="nil"/>
          <w:left w:val="nil"/>
          <w:bottom w:val="nil"/>
          <w:right w:val="nil"/>
          <w:between w:val="nil"/>
        </w:pBdr>
        <w:tabs>
          <w:tab w:val="left" w:pos="284"/>
          <w:tab w:val="left" w:pos="426"/>
          <w:tab w:val="left" w:pos="1691"/>
        </w:tabs>
        <w:spacing w:after="120" w:line="360" w:lineRule="auto"/>
        <w:jc w:val="both"/>
        <w:rPr>
          <w:rFonts w:ascii="Arial" w:eastAsia="Arial" w:hAnsi="Arial" w:cs="Arial"/>
          <w:color w:val="010000"/>
          <w:sz w:val="20"/>
          <w:szCs w:val="20"/>
        </w:rPr>
      </w:pPr>
      <w:r>
        <w:rPr>
          <w:rFonts w:ascii="Arial" w:hAnsi="Arial"/>
          <w:color w:val="010000"/>
          <w:sz w:val="20"/>
        </w:rPr>
        <w:t>Proposal on the selection of an independent audit company to provide auditing services for the financial statements 2024.</w:t>
      </w:r>
    </w:p>
    <w:p w14:paraId="00000019" w14:textId="77777777" w:rsidR="006A07D5" w:rsidRDefault="00967B76">
      <w:pPr>
        <w:numPr>
          <w:ilvl w:val="0"/>
          <w:numId w:val="5"/>
        </w:numPr>
        <w:pBdr>
          <w:top w:val="nil"/>
          <w:left w:val="nil"/>
          <w:bottom w:val="nil"/>
          <w:right w:val="nil"/>
          <w:between w:val="nil"/>
        </w:pBdr>
        <w:tabs>
          <w:tab w:val="left" w:pos="284"/>
          <w:tab w:val="left" w:pos="426"/>
          <w:tab w:val="left" w:pos="1691"/>
        </w:tabs>
        <w:spacing w:after="120" w:line="360" w:lineRule="auto"/>
        <w:jc w:val="both"/>
        <w:rPr>
          <w:rFonts w:ascii="Arial" w:eastAsia="Arial" w:hAnsi="Arial" w:cs="Arial"/>
          <w:color w:val="010000"/>
          <w:sz w:val="20"/>
          <w:szCs w:val="20"/>
        </w:rPr>
      </w:pPr>
      <w:r>
        <w:rPr>
          <w:rFonts w:ascii="Arial" w:hAnsi="Arial"/>
          <w:color w:val="010000"/>
          <w:sz w:val="20"/>
        </w:rPr>
        <w:t>Draft of the Annual General Mandate 2024.</w:t>
      </w:r>
    </w:p>
    <w:p w14:paraId="0000001A" w14:textId="77777777" w:rsidR="006A07D5" w:rsidRDefault="00967B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3: Approve the list of The Shareholder's Eligibility Verification Committee for the Annual General Meeting of Shareholders 2024 consists of the following members:</w:t>
      </w:r>
    </w:p>
    <w:p w14:paraId="0000001B" w14:textId="5AD42E01" w:rsidR="006A07D5" w:rsidRDefault="00967B7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Tho</w:t>
      </w:r>
      <w:proofErr w:type="spellEnd"/>
      <w:r>
        <w:rPr>
          <w:rFonts w:ascii="Arial" w:hAnsi="Arial"/>
          <w:color w:val="010000"/>
          <w:sz w:val="20"/>
        </w:rPr>
        <w:t xml:space="preserve"> Bac - Chief Accountant, Company’s Secretary - Committee Chair;</w:t>
      </w:r>
    </w:p>
    <w:p w14:paraId="0000001C" w14:textId="77777777" w:rsidR="006A07D5" w:rsidRDefault="00967B7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Bao</w:t>
      </w:r>
      <w:proofErr w:type="spellEnd"/>
      <w:r>
        <w:rPr>
          <w:rFonts w:ascii="Arial" w:hAnsi="Arial"/>
          <w:color w:val="010000"/>
          <w:sz w:val="20"/>
        </w:rPr>
        <w:t xml:space="preserve"> - Deputy Head of Planning and Finance Department, Member of the Supervisory Board - Committee Member;</w:t>
      </w:r>
    </w:p>
    <w:p w14:paraId="0000001D" w14:textId="77777777" w:rsidR="006A07D5" w:rsidRDefault="00967B76">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Mr. Phan </w:t>
      </w:r>
      <w:proofErr w:type="spellStart"/>
      <w:r>
        <w:rPr>
          <w:rFonts w:ascii="Arial" w:hAnsi="Arial"/>
          <w:color w:val="010000"/>
          <w:sz w:val="20"/>
        </w:rPr>
        <w:t>Toan</w:t>
      </w:r>
      <w:proofErr w:type="spellEnd"/>
      <w:r>
        <w:rPr>
          <w:rFonts w:ascii="Arial" w:hAnsi="Arial"/>
          <w:color w:val="010000"/>
          <w:sz w:val="20"/>
        </w:rPr>
        <w:t xml:space="preserve"> Luc - Head of Material Supply Department - Committee Member.</w:t>
      </w:r>
    </w:p>
    <w:p w14:paraId="0000001E" w14:textId="77777777" w:rsidR="006A07D5" w:rsidRDefault="00967B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4: The Board of Directors authorizes:</w:t>
      </w:r>
    </w:p>
    <w:p w14:paraId="0000001F" w14:textId="18F5D4C7" w:rsidR="006A07D5" w:rsidRDefault="00967B76">
      <w:pPr>
        <w:numPr>
          <w:ilvl w:val="0"/>
          <w:numId w:val="3"/>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 (Head of the Organizing Committee of the Meeting)</w:t>
      </w:r>
    </w:p>
    <w:p w14:paraId="00000020" w14:textId="0B49C319" w:rsidR="006A07D5" w:rsidRDefault="00967B76">
      <w:pPr>
        <w:numPr>
          <w:ilvl w:val="0"/>
          <w:numId w:val="4"/>
        </w:numPr>
        <w:pBdr>
          <w:top w:val="nil"/>
          <w:left w:val="nil"/>
          <w:bottom w:val="nil"/>
          <w:right w:val="nil"/>
          <w:between w:val="nil"/>
        </w:pBdr>
        <w:tabs>
          <w:tab w:val="left" w:pos="284"/>
          <w:tab w:val="left" w:pos="1081"/>
        </w:tabs>
        <w:spacing w:after="120" w:line="360" w:lineRule="auto"/>
        <w:jc w:val="both"/>
        <w:rPr>
          <w:rFonts w:ascii="Arial" w:eastAsia="Arial" w:hAnsi="Arial" w:cs="Arial"/>
          <w:color w:val="010000"/>
          <w:sz w:val="20"/>
          <w:szCs w:val="20"/>
        </w:rPr>
      </w:pPr>
      <w:r>
        <w:rPr>
          <w:rFonts w:ascii="Arial" w:hAnsi="Arial"/>
          <w:color w:val="010000"/>
          <w:sz w:val="20"/>
        </w:rPr>
        <w:t>Make decisions to convene the General Meeting, carry out procedures to announce information about the time, venue, document dossier, and agenda content of the Annual General Meeting of Shareholders 2024 according to regulations;</w:t>
      </w:r>
    </w:p>
    <w:p w14:paraId="00000021" w14:textId="2E1439B4" w:rsidR="006A07D5" w:rsidRDefault="00967B76">
      <w:pPr>
        <w:numPr>
          <w:ilvl w:val="0"/>
          <w:numId w:val="4"/>
        </w:numPr>
        <w:pBdr>
          <w:top w:val="nil"/>
          <w:left w:val="nil"/>
          <w:bottom w:val="nil"/>
          <w:right w:val="nil"/>
          <w:between w:val="nil"/>
        </w:pBdr>
        <w:tabs>
          <w:tab w:val="left" w:pos="284"/>
          <w:tab w:val="left" w:pos="1085"/>
        </w:tabs>
        <w:spacing w:after="120" w:line="360" w:lineRule="auto"/>
        <w:jc w:val="both"/>
        <w:rPr>
          <w:rFonts w:ascii="Arial" w:eastAsia="Arial" w:hAnsi="Arial" w:cs="Arial"/>
          <w:color w:val="010000"/>
          <w:sz w:val="20"/>
          <w:szCs w:val="20"/>
        </w:rPr>
      </w:pPr>
      <w:r>
        <w:rPr>
          <w:rFonts w:ascii="Arial" w:hAnsi="Arial"/>
          <w:color w:val="010000"/>
          <w:sz w:val="20"/>
        </w:rPr>
        <w:t>Direct the Organizing Committee of the Annual General Meeting of Shareholders 2024:</w:t>
      </w:r>
    </w:p>
    <w:p w14:paraId="00000022" w14:textId="77777777" w:rsidR="006A07D5" w:rsidRDefault="00967B7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Direct the publication of the entire General Meeting documentation on the company's website and send invitations to shareholders to attend the meeting no later than 21 days before the opening date of the General Meeting according to regulations;</w:t>
      </w:r>
    </w:p>
    <w:p w14:paraId="00000023" w14:textId="77777777" w:rsidR="006A07D5" w:rsidRDefault="00967B7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Direct the updating, amendment, and supplementation of General Meeting documents (if any) until before the General Meeting of Shareholders takes place;</w:t>
      </w:r>
    </w:p>
    <w:p w14:paraId="00000024" w14:textId="77777777" w:rsidR="006A07D5" w:rsidRDefault="00967B76">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Pr>
          <w:rFonts w:ascii="Arial" w:hAnsi="Arial"/>
          <w:color w:val="010000"/>
          <w:sz w:val="20"/>
        </w:rPr>
        <w:t>Direct the preparation of the best infrastructure to ensure that the meeting takes place according to the plan;</w:t>
      </w:r>
    </w:p>
    <w:p w14:paraId="00000025" w14:textId="01F25259" w:rsidR="006A07D5" w:rsidRDefault="00967B76">
      <w:pPr>
        <w:numPr>
          <w:ilvl w:val="0"/>
          <w:numId w:val="3"/>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The Manager of the Company (Legal Representative)</w:t>
      </w:r>
    </w:p>
    <w:p w14:paraId="00000026" w14:textId="77777777" w:rsidR="006A07D5" w:rsidRDefault="00967B76">
      <w:pPr>
        <w:numPr>
          <w:ilvl w:val="0"/>
          <w:numId w:val="4"/>
        </w:numPr>
        <w:pBdr>
          <w:top w:val="nil"/>
          <w:left w:val="nil"/>
          <w:bottom w:val="nil"/>
          <w:right w:val="nil"/>
          <w:between w:val="nil"/>
        </w:pBdr>
        <w:tabs>
          <w:tab w:val="left" w:pos="284"/>
          <w:tab w:val="left" w:pos="1152"/>
        </w:tabs>
        <w:spacing w:after="120" w:line="360" w:lineRule="auto"/>
        <w:jc w:val="both"/>
        <w:rPr>
          <w:rFonts w:ascii="Arial" w:eastAsia="Arial" w:hAnsi="Arial" w:cs="Arial"/>
          <w:color w:val="010000"/>
          <w:sz w:val="20"/>
          <w:szCs w:val="20"/>
        </w:rPr>
      </w:pPr>
      <w:r>
        <w:rPr>
          <w:rFonts w:ascii="Arial" w:hAnsi="Arial"/>
          <w:color w:val="010000"/>
          <w:sz w:val="20"/>
        </w:rPr>
        <w:t>Direct the functional departments to complete the General Meeting document dossier.</w:t>
      </w:r>
    </w:p>
    <w:p w14:paraId="00000027" w14:textId="77777777" w:rsidR="006A07D5" w:rsidRDefault="00967B76">
      <w:pPr>
        <w:numPr>
          <w:ilvl w:val="0"/>
          <w:numId w:val="4"/>
        </w:numPr>
        <w:pBdr>
          <w:top w:val="nil"/>
          <w:left w:val="nil"/>
          <w:bottom w:val="nil"/>
          <w:right w:val="nil"/>
          <w:between w:val="nil"/>
        </w:pBdr>
        <w:tabs>
          <w:tab w:val="left" w:pos="284"/>
          <w:tab w:val="left" w:pos="1152"/>
        </w:tabs>
        <w:spacing w:after="120" w:line="360" w:lineRule="auto"/>
        <w:jc w:val="both"/>
        <w:rPr>
          <w:rFonts w:ascii="Arial" w:eastAsia="Arial" w:hAnsi="Arial" w:cs="Arial"/>
          <w:color w:val="010000"/>
          <w:sz w:val="20"/>
          <w:szCs w:val="20"/>
        </w:rPr>
      </w:pPr>
      <w:r>
        <w:rPr>
          <w:rFonts w:ascii="Arial" w:hAnsi="Arial"/>
          <w:color w:val="010000"/>
          <w:sz w:val="20"/>
        </w:rPr>
        <w:t>Implement the information disclosure according to the provisions of the Law.</w:t>
      </w:r>
    </w:p>
    <w:p w14:paraId="00000028" w14:textId="77777777" w:rsidR="006A07D5" w:rsidRDefault="00967B7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Article 4: This Resolution takes effect from the date of its signing. Members of the Board of Directors, the Manager of Development Investment Construction number 1 Joint Stock Company and relevant departments are responsible for implementing this Resolution./.</w:t>
      </w:r>
    </w:p>
    <w:sectPr w:rsidR="006A07D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39B"/>
    <w:multiLevelType w:val="multilevel"/>
    <w:tmpl w:val="BD8075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714470B"/>
    <w:multiLevelType w:val="multilevel"/>
    <w:tmpl w:val="7E227FA0"/>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0B525C4"/>
    <w:multiLevelType w:val="multilevel"/>
    <w:tmpl w:val="20F848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B7B1C18"/>
    <w:multiLevelType w:val="multilevel"/>
    <w:tmpl w:val="ECB8EB66"/>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B04C9F"/>
    <w:multiLevelType w:val="multilevel"/>
    <w:tmpl w:val="8FE270B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D5"/>
    <w:rsid w:val="000B3DBF"/>
    <w:rsid w:val="006A07D5"/>
    <w:rsid w:val="0096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6D2CB"/>
  <w15:docId w15:val="{4335DCA0-9B05-4444-B890-9B65FBD8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2D302F"/>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D302F"/>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4F7EBC"/>
      <w:sz w:val="84"/>
      <w:szCs w:val="84"/>
      <w:u w:val="none"/>
      <w:shd w:val="clear" w:color="auto" w:fill="auto"/>
    </w:rPr>
  </w:style>
  <w:style w:type="paragraph" w:customStyle="1" w:styleId="Vnbnnidung30">
    <w:name w:val="Văn bản nội dung (3)"/>
    <w:basedOn w:val="Normal"/>
    <w:link w:val="Vnbnnidung3"/>
    <w:pPr>
      <w:spacing w:line="274" w:lineRule="auto"/>
      <w:jc w:val="center"/>
    </w:pPr>
    <w:rPr>
      <w:rFonts w:ascii="Times New Roman" w:eastAsia="Times New Roman" w:hAnsi="Times New Roman" w:cs="Times New Roman"/>
      <w:i/>
      <w:iCs/>
      <w:color w:val="2D302F"/>
      <w:sz w:val="22"/>
      <w:szCs w:val="22"/>
    </w:rPr>
  </w:style>
  <w:style w:type="paragraph" w:customStyle="1" w:styleId="Vnbnnidung40">
    <w:name w:val="Văn bản nội dung (4)"/>
    <w:basedOn w:val="Normal"/>
    <w:link w:val="Vnbnnidung4"/>
    <w:pPr>
      <w:spacing w:line="223" w:lineRule="auto"/>
      <w:ind w:firstLine="320"/>
    </w:pPr>
    <w:rPr>
      <w:rFonts w:ascii="Arial" w:eastAsia="Arial" w:hAnsi="Arial" w:cs="Arial"/>
      <w:sz w:val="34"/>
      <w:szCs w:val="34"/>
    </w:rPr>
  </w:style>
  <w:style w:type="paragraph" w:customStyle="1" w:styleId="Vnbnnidung20">
    <w:name w:val="Văn bản nội dung (2)"/>
    <w:basedOn w:val="Normal"/>
    <w:link w:val="Vnbnnidung2"/>
    <w:rPr>
      <w:rFonts w:ascii="Arial" w:eastAsia="Arial" w:hAnsi="Arial" w:cs="Arial"/>
      <w:sz w:val="13"/>
      <w:szCs w:val="13"/>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2D302F"/>
      <w:sz w:val="30"/>
      <w:szCs w:val="30"/>
    </w:rPr>
  </w:style>
  <w:style w:type="paragraph" w:customStyle="1" w:styleId="Tiu10">
    <w:name w:val="Tiêu đề #1"/>
    <w:basedOn w:val="Normal"/>
    <w:link w:val="Tiu1"/>
    <w:pPr>
      <w:spacing w:line="182" w:lineRule="auto"/>
      <w:jc w:val="right"/>
      <w:outlineLvl w:val="0"/>
    </w:pPr>
    <w:rPr>
      <w:rFonts w:ascii="Times New Roman" w:eastAsia="Times New Roman" w:hAnsi="Times New Roman" w:cs="Times New Roman"/>
      <w:color w:val="4F7EBC"/>
      <w:sz w:val="84"/>
      <w:szCs w:val="8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FxKhi+PkOIzRL9l+TqSlfi0SBg==">CgMxLjAyCGguZ2pkZ3hzOAByITFNYngtRnlmc0k1SXZkY01rSFhVVnRNUUlNd1VEUU9vNQ==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713</Words>
  <Characters>4067</Characters>
  <Application>Microsoft Office Word</Application>
  <DocSecurity>0</DocSecurity>
  <Lines>33</Lines>
  <Paragraphs>9</Paragraphs>
  <ScaleCrop>false</ScaleCrop>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2024-04-03T04:11:00Z</dcterms:created>
  <dcterms:modified xsi:type="dcterms:W3CDTF">2024-04-04T09:15:00Z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d61383c97430bfada9267ecefacc23770166bee91c5d0dc786fd71fb94e19ebe</vt:lpwstr>
  </property>
</Properties>
</file>