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E4B4" w14:textId="5A4110AA" w:rsidR="005D08F5" w:rsidRDefault="00602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DDG: Explanation on the difference in profit before and after audit</w:t>
      </w:r>
    </w:p>
    <w:p w14:paraId="355F0B84" w14:textId="49F3DA44" w:rsidR="005D08F5" w:rsidRDefault="00602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</w:t>
      </w:r>
      <w:proofErr w:type="spellStart"/>
      <w:r>
        <w:rPr>
          <w:rFonts w:ascii="Arial" w:hAnsi="Arial"/>
          <w:color w:val="010000"/>
          <w:sz w:val="20"/>
        </w:rPr>
        <w:t>Indochine</w:t>
      </w:r>
      <w:proofErr w:type="spellEnd"/>
      <w:r>
        <w:rPr>
          <w:rFonts w:ascii="Arial" w:hAnsi="Arial"/>
          <w:color w:val="010000"/>
          <w:sz w:val="20"/>
        </w:rPr>
        <w:t xml:space="preserve"> Import Export Investment Industrial Joint Stock Company announced Official Dispatch No. 29.03-1/2024/DDG/CV on explaining the 5% difference in profit after tax of the 2023 financial statements before and after audit as follows:</w:t>
      </w:r>
    </w:p>
    <w:tbl>
      <w:tblPr>
        <w:tblStyle w:val="a"/>
        <w:tblW w:w="9017" w:type="dxa"/>
        <w:jc w:val="center"/>
        <w:tblLayout w:type="fixed"/>
        <w:tblLook w:val="0000" w:firstRow="0" w:lastRow="0" w:firstColumn="0" w:lastColumn="0" w:noHBand="0" w:noVBand="0"/>
      </w:tblPr>
      <w:tblGrid>
        <w:gridCol w:w="1784"/>
        <w:gridCol w:w="1839"/>
        <w:gridCol w:w="1827"/>
        <w:gridCol w:w="1789"/>
        <w:gridCol w:w="1778"/>
      </w:tblGrid>
      <w:tr w:rsidR="005D08F5" w14:paraId="342D710D" w14:textId="77777777" w:rsidTr="00735563">
        <w:trPr>
          <w:jc w:val="center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98AFE" w14:textId="77777777" w:rsidR="005D08F5" w:rsidRDefault="00602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5E30E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before audit (VND)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44D13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after audit (VND)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CC90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 difference (+/-) before and after audit</w:t>
            </w:r>
          </w:p>
        </w:tc>
      </w:tr>
      <w:tr w:rsidR="005D08F5" w14:paraId="7CE72C33" w14:textId="77777777" w:rsidTr="00735563">
        <w:trPr>
          <w:jc w:val="center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6D72A" w14:textId="77777777" w:rsidR="005D08F5" w:rsidRDefault="005D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93F1F" w14:textId="77777777" w:rsidR="005D08F5" w:rsidRDefault="005D08F5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7726F" w14:textId="77777777" w:rsidR="005D08F5" w:rsidRDefault="005D08F5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DF4FF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CD153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</w:tr>
      <w:tr w:rsidR="005D08F5" w14:paraId="06A15F8D" w14:textId="77777777" w:rsidTr="00735563">
        <w:trPr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79291" w14:textId="77777777" w:rsidR="005D08F5" w:rsidRDefault="00602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EB033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(191,917,149,945)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A611B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(205,473,529,774)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C14B5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(13,556,379,829)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36407" w14:textId="77777777" w:rsidR="005D08F5" w:rsidRDefault="00602D1E" w:rsidP="0073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7.064%</w:t>
            </w:r>
          </w:p>
        </w:tc>
      </w:tr>
    </w:tbl>
    <w:p w14:paraId="77DB5333" w14:textId="1F0AD3A6" w:rsidR="005D08F5" w:rsidRDefault="00602D1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difference in profit after tax on the </w:t>
      </w:r>
      <w:r w:rsidR="008615BA">
        <w:rPr>
          <w:rFonts w:ascii="Arial" w:hAnsi="Arial"/>
          <w:color w:val="010000"/>
          <w:sz w:val="20"/>
        </w:rPr>
        <w:t>Consolidated Financial Statement</w:t>
      </w:r>
      <w:bookmarkStart w:id="0" w:name="_GoBack"/>
      <w:bookmarkEnd w:id="0"/>
      <w:r w:rsidR="008615BA">
        <w:rPr>
          <w:rFonts w:ascii="Arial" w:hAnsi="Arial"/>
          <w:color w:val="010000"/>
          <w:sz w:val="20"/>
        </w:rPr>
        <w:t xml:space="preserve">s </w:t>
      </w:r>
      <w:r>
        <w:rPr>
          <w:rFonts w:ascii="Arial" w:hAnsi="Arial"/>
          <w:color w:val="010000"/>
          <w:sz w:val="20"/>
        </w:rPr>
        <w:t>of Q4/2023 is due to:</w:t>
      </w:r>
    </w:p>
    <w:p w14:paraId="3413C776" w14:textId="77777777" w:rsidR="005D08F5" w:rsidRDefault="00602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Most of it is an additional financial expense (loan interest,...) as required by the Audit</w:t>
      </w:r>
    </w:p>
    <w:p w14:paraId="75D7BE20" w14:textId="765A3366" w:rsidR="005D08F5" w:rsidRDefault="00602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Adjusting the decrease in consolidated financial revenue from the divestment of capital invested in Blue Global Company Limited (Subsidiary) at the request of the Auditor.</w:t>
      </w:r>
    </w:p>
    <w:p w14:paraId="70A5BDAB" w14:textId="77777777" w:rsidR="005D08F5" w:rsidRDefault="005D08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D08F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3841"/>
    <w:multiLevelType w:val="multilevel"/>
    <w:tmpl w:val="CF047E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5"/>
    <w:rsid w:val="0020327D"/>
    <w:rsid w:val="005D08F5"/>
    <w:rsid w:val="00602D1E"/>
    <w:rsid w:val="00735563"/>
    <w:rsid w:val="008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4B8F"/>
  <w15:docId w15:val="{4E2995D3-1687-4632-8411-E624B57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pPr>
      <w:ind w:firstLine="380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pacing w:line="310" w:lineRule="auto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UHgsOxnddiQ4mivUejsPVlJWg==">CgMxLjAyCGguZ2pkZ3hzOAByITFPRnBkX0dQWHFuWm1paGxHc19MeDVsMW0zQWZIT2Z4WQ==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2024-04-04T04:41:00Z</dcterms:created>
  <dcterms:modified xsi:type="dcterms:W3CDTF">2024-04-05T09:32:00Z</dcterms:modified>
</cp:coreProperties>
</file>