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b/>
          <w:color w:val="010000"/>
          <w:sz w:val="20"/>
        </w:rPr>
        <w:t>DNT: Board Resolution</w:t>
      </w:r>
    </w:p>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March 29, 2024, Dong </w:t>
      </w:r>
      <w:proofErr w:type="spellStart"/>
      <w:r>
        <w:rPr>
          <w:rFonts w:ascii="Arial" w:hAnsi="Arial"/>
          <w:color w:val="010000"/>
          <w:sz w:val="20"/>
        </w:rPr>
        <w:t>Nai</w:t>
      </w:r>
      <w:proofErr w:type="spellEnd"/>
      <w:r>
        <w:rPr>
          <w:rFonts w:ascii="Arial" w:hAnsi="Arial"/>
          <w:color w:val="010000"/>
          <w:sz w:val="20"/>
        </w:rPr>
        <w:t xml:space="preserve"> Tourist Joint Stock Company announced Resolution No. 54/DLDN/HDQT-NQ as follows:</w:t>
      </w:r>
    </w:p>
    <w:p w:rsidR="00626657" w:rsidRDefault="00023001">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Agree on the results of implementing business tasks and propose profit distribution in 2023; Register targets and business plans for 2024, specifically:</w:t>
      </w:r>
    </w:p>
    <w:p w:rsidR="00626657" w:rsidRDefault="00023001">
      <w:pPr>
        <w:keepNext/>
        <w:numPr>
          <w:ilvl w:val="0"/>
          <w:numId w:val="5"/>
        </w:numPr>
        <w:pBdr>
          <w:top w:val="nil"/>
          <w:left w:val="nil"/>
          <w:bottom w:val="nil"/>
          <w:right w:val="nil"/>
          <w:between w:val="nil"/>
        </w:pBdr>
        <w:tabs>
          <w:tab w:val="left" w:pos="1098"/>
        </w:tabs>
        <w:spacing w:after="120" w:line="360" w:lineRule="auto"/>
        <w:rPr>
          <w:rFonts w:ascii="Arial" w:eastAsia="Arial" w:hAnsi="Arial" w:cs="Arial"/>
          <w:color w:val="010000"/>
          <w:sz w:val="20"/>
          <w:szCs w:val="20"/>
        </w:rPr>
      </w:pPr>
      <w:r>
        <w:rPr>
          <w:rFonts w:ascii="Arial" w:hAnsi="Arial"/>
          <w:color w:val="010000"/>
          <w:sz w:val="20"/>
        </w:rPr>
        <w:t>Profit distribution in 2023:</w:t>
      </w:r>
    </w:p>
    <w:p w:rsidR="00626657" w:rsidRDefault="00023001">
      <w:pPr>
        <w:numPr>
          <w:ilvl w:val="1"/>
          <w:numId w:val="5"/>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revenue: VND 224,524,645,142</w:t>
      </w:r>
    </w:p>
    <w:p w:rsidR="00626657" w:rsidRDefault="00023001">
      <w:pPr>
        <w:numPr>
          <w:ilvl w:val="1"/>
          <w:numId w:val="5"/>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expense (not including salary): VND 191,859,659,215</w:t>
      </w:r>
    </w:p>
    <w:p w:rsidR="00626657" w:rsidRDefault="00023001">
      <w:pPr>
        <w:numPr>
          <w:ilvl w:val="1"/>
          <w:numId w:val="5"/>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Salary: VND 21,172,258,008</w:t>
      </w:r>
    </w:p>
    <w:p w:rsidR="00626657" w:rsidRDefault="00023001">
      <w:pPr>
        <w:numPr>
          <w:ilvl w:val="1"/>
          <w:numId w:val="5"/>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 VND 11,492,727,919</w:t>
      </w:r>
    </w:p>
    <w:p w:rsidR="00626657" w:rsidRDefault="00023001">
      <w:pPr>
        <w:numPr>
          <w:ilvl w:val="1"/>
          <w:numId w:val="5"/>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Corporate income tax: VND 2,289,924,833</w:t>
      </w:r>
    </w:p>
    <w:p w:rsidR="00626657" w:rsidRDefault="00023001">
      <w:pPr>
        <w:numPr>
          <w:ilvl w:val="1"/>
          <w:numId w:val="5"/>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 in 2023: VND</w:t>
      </w:r>
      <w:r w:rsidR="00DE228F">
        <w:rPr>
          <w:rFonts w:ascii="Arial" w:hAnsi="Arial"/>
          <w:color w:val="010000"/>
          <w:sz w:val="20"/>
        </w:rPr>
        <w:t xml:space="preserve"> </w:t>
      </w:r>
      <w:r>
        <w:rPr>
          <w:rFonts w:ascii="Arial" w:hAnsi="Arial"/>
          <w:color w:val="010000"/>
          <w:sz w:val="20"/>
        </w:rPr>
        <w:t>9,202,803,086</w:t>
      </w:r>
    </w:p>
    <w:p w:rsidR="00626657" w:rsidRDefault="00023001">
      <w:pPr>
        <w:numPr>
          <w:ilvl w:val="1"/>
          <w:numId w:val="5"/>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Appropriation for bonus and welfare funds in 2023: VND 5,139,661,302</w:t>
      </w:r>
    </w:p>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 which:</w:t>
      </w:r>
    </w:p>
    <w:p w:rsidR="00626657" w:rsidRDefault="00023001">
      <w:pPr>
        <w:numPr>
          <w:ilvl w:val="0"/>
          <w:numId w:val="3"/>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Employees (3 </w:t>
      </w:r>
      <w:proofErr w:type="gramStart"/>
      <w:r>
        <w:rPr>
          <w:rFonts w:ascii="Arial" w:hAnsi="Arial"/>
          <w:color w:val="010000"/>
          <w:sz w:val="20"/>
        </w:rPr>
        <w:t>months</w:t>
      </w:r>
      <w:proofErr w:type="gramEnd"/>
      <w:r>
        <w:rPr>
          <w:rFonts w:ascii="Arial" w:hAnsi="Arial"/>
          <w:color w:val="010000"/>
          <w:sz w:val="20"/>
        </w:rPr>
        <w:t xml:space="preserve"> average salary): VND </w:t>
      </w:r>
      <w:bookmarkStart w:id="0" w:name="_GoBack"/>
      <w:bookmarkEnd w:id="0"/>
      <w:r>
        <w:rPr>
          <w:rFonts w:ascii="Arial" w:hAnsi="Arial"/>
          <w:color w:val="010000"/>
          <w:sz w:val="20"/>
        </w:rPr>
        <w:t>4,986,258,102</w:t>
      </w:r>
    </w:p>
    <w:p w:rsidR="00626657" w:rsidRDefault="00023001">
      <w:pPr>
        <w:numPr>
          <w:ilvl w:val="0"/>
          <w:numId w:val="3"/>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Executive Board (1.5-month average salary): VND 153,403,200</w:t>
      </w:r>
    </w:p>
    <w:p w:rsidR="00626657" w:rsidRDefault="00023001">
      <w:pPr>
        <w:numPr>
          <w:ilvl w:val="1"/>
          <w:numId w:val="5"/>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 rate in 2023 was 5%: VND 3,640,462,500</w:t>
      </w:r>
    </w:p>
    <w:p w:rsidR="00626657" w:rsidRDefault="00023001">
      <w:pPr>
        <w:numPr>
          <w:ilvl w:val="1"/>
          <w:numId w:val="5"/>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in 2022: VND 289,041,667</w:t>
      </w:r>
    </w:p>
    <w:p w:rsidR="00626657" w:rsidRDefault="00023001">
      <w:pPr>
        <w:numPr>
          <w:ilvl w:val="1"/>
          <w:numId w:val="5"/>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in 2023: VND 422,679,284</w:t>
      </w:r>
    </w:p>
    <w:p w:rsidR="00626657" w:rsidRDefault="00023001">
      <w:pPr>
        <w:numPr>
          <w:ilvl w:val="1"/>
          <w:numId w:val="5"/>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Remaining profit as at December 31, 2023 VND 711,720,951</w:t>
      </w:r>
    </w:p>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 Targets and business plans for 2024 (Unit: Million VND)</w:t>
      </w:r>
    </w:p>
    <w:tbl>
      <w:tblPr>
        <w:tblStyle w:val="a"/>
        <w:tblW w:w="9017" w:type="dxa"/>
        <w:tblLayout w:type="fixed"/>
        <w:tblLook w:val="0400" w:firstRow="0" w:lastRow="0" w:firstColumn="0" w:lastColumn="0" w:noHBand="0" w:noVBand="1"/>
      </w:tblPr>
      <w:tblGrid>
        <w:gridCol w:w="753"/>
        <w:gridCol w:w="2212"/>
        <w:gridCol w:w="990"/>
        <w:gridCol w:w="1710"/>
        <w:gridCol w:w="1844"/>
        <w:gridCol w:w="1508"/>
      </w:tblGrid>
      <w:tr w:rsidR="00626657" w:rsidTr="00DE228F">
        <w:tc>
          <w:tcPr>
            <w:tcW w:w="753" w:type="dxa"/>
            <w:vMerge w:val="restart"/>
            <w:tcBorders>
              <w:top w:val="single" w:sz="4" w:space="0" w:color="000000"/>
              <w:left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212" w:type="dxa"/>
            <w:vMerge w:val="restart"/>
            <w:tcBorders>
              <w:top w:val="single" w:sz="4" w:space="0" w:color="000000"/>
              <w:left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w:t>
            </w:r>
          </w:p>
        </w:tc>
        <w:tc>
          <w:tcPr>
            <w:tcW w:w="4544" w:type="dxa"/>
            <w:gridSpan w:val="3"/>
            <w:tcBorders>
              <w:top w:val="single" w:sz="4" w:space="0" w:color="000000"/>
              <w:left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 2023</w:t>
            </w:r>
          </w:p>
        </w:tc>
        <w:tc>
          <w:tcPr>
            <w:tcW w:w="150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 2024</w:t>
            </w:r>
          </w:p>
        </w:tc>
      </w:tr>
      <w:tr w:rsidR="00626657" w:rsidTr="00DE228F">
        <w:tc>
          <w:tcPr>
            <w:tcW w:w="753" w:type="dxa"/>
            <w:vMerge/>
            <w:tcBorders>
              <w:top w:val="single" w:sz="4" w:space="0" w:color="000000"/>
              <w:left w:val="single" w:sz="4" w:space="0" w:color="000000"/>
            </w:tcBorders>
            <w:shd w:val="clear" w:color="auto" w:fill="auto"/>
            <w:tcMar>
              <w:top w:w="0" w:type="dxa"/>
              <w:bottom w:w="0" w:type="dxa"/>
            </w:tcMar>
            <w:vAlign w:val="center"/>
          </w:tcPr>
          <w:p w:rsidR="00626657" w:rsidRDefault="00626657">
            <w:pPr>
              <w:pBdr>
                <w:top w:val="nil"/>
                <w:left w:val="nil"/>
                <w:bottom w:val="nil"/>
                <w:right w:val="nil"/>
                <w:between w:val="nil"/>
              </w:pBdr>
              <w:spacing w:line="276" w:lineRule="auto"/>
              <w:rPr>
                <w:rFonts w:ascii="Arial" w:eastAsia="Arial" w:hAnsi="Arial" w:cs="Arial"/>
                <w:color w:val="010000"/>
                <w:sz w:val="20"/>
                <w:szCs w:val="20"/>
              </w:rPr>
            </w:pPr>
          </w:p>
        </w:tc>
        <w:tc>
          <w:tcPr>
            <w:tcW w:w="2212" w:type="dxa"/>
            <w:vMerge/>
            <w:tcBorders>
              <w:top w:val="single" w:sz="4" w:space="0" w:color="000000"/>
              <w:left w:val="single" w:sz="4" w:space="0" w:color="000000"/>
            </w:tcBorders>
            <w:shd w:val="clear" w:color="auto" w:fill="auto"/>
            <w:tcMar>
              <w:top w:w="0" w:type="dxa"/>
              <w:bottom w:w="0" w:type="dxa"/>
            </w:tcMar>
            <w:vAlign w:val="center"/>
          </w:tcPr>
          <w:p w:rsidR="00626657" w:rsidRDefault="00626657">
            <w:pPr>
              <w:pBdr>
                <w:top w:val="nil"/>
                <w:left w:val="nil"/>
                <w:bottom w:val="nil"/>
                <w:right w:val="nil"/>
                <w:between w:val="nil"/>
              </w:pBdr>
              <w:spacing w:line="276" w:lineRule="auto"/>
              <w:rPr>
                <w:rFonts w:ascii="Arial" w:eastAsia="Arial" w:hAnsi="Arial" w:cs="Arial"/>
                <w:color w:val="010000"/>
                <w:sz w:val="20"/>
                <w:szCs w:val="20"/>
              </w:rPr>
            </w:pPr>
          </w:p>
        </w:tc>
        <w:tc>
          <w:tcPr>
            <w:tcW w:w="990" w:type="dxa"/>
            <w:tcBorders>
              <w:top w:val="single" w:sz="4" w:space="0" w:color="000000"/>
              <w:left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Plan</w:t>
            </w:r>
          </w:p>
        </w:tc>
        <w:tc>
          <w:tcPr>
            <w:tcW w:w="1710" w:type="dxa"/>
            <w:tcBorders>
              <w:top w:val="single" w:sz="4" w:space="0" w:color="000000"/>
              <w:left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Implementation</w:t>
            </w:r>
          </w:p>
        </w:tc>
        <w:tc>
          <w:tcPr>
            <w:tcW w:w="1844" w:type="dxa"/>
            <w:tcBorders>
              <w:top w:val="single" w:sz="4" w:space="0" w:color="000000"/>
              <w:left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Plan/Implementation(%)</w:t>
            </w:r>
          </w:p>
        </w:tc>
        <w:tc>
          <w:tcPr>
            <w:tcW w:w="150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Plan</w:t>
            </w:r>
          </w:p>
        </w:tc>
      </w:tr>
      <w:tr w:rsidR="00626657" w:rsidTr="00DE228F">
        <w:tc>
          <w:tcPr>
            <w:tcW w:w="753" w:type="dxa"/>
            <w:tcBorders>
              <w:top w:val="single" w:sz="4" w:space="0" w:color="000000"/>
              <w:left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212" w:type="dxa"/>
            <w:tcBorders>
              <w:top w:val="single" w:sz="4" w:space="0" w:color="000000"/>
              <w:left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revenue</w:t>
            </w:r>
          </w:p>
        </w:tc>
        <w:tc>
          <w:tcPr>
            <w:tcW w:w="990" w:type="dxa"/>
            <w:tcBorders>
              <w:top w:val="single" w:sz="4" w:space="0" w:color="000000"/>
              <w:left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250,000</w:t>
            </w:r>
          </w:p>
        </w:tc>
        <w:tc>
          <w:tcPr>
            <w:tcW w:w="1710" w:type="dxa"/>
            <w:tcBorders>
              <w:top w:val="single" w:sz="4" w:space="0" w:color="000000"/>
              <w:left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224,524</w:t>
            </w:r>
          </w:p>
        </w:tc>
        <w:tc>
          <w:tcPr>
            <w:tcW w:w="1844" w:type="dxa"/>
            <w:tcBorders>
              <w:top w:val="single" w:sz="4" w:space="0" w:color="000000"/>
              <w:left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90%</w:t>
            </w:r>
          </w:p>
        </w:tc>
        <w:tc>
          <w:tcPr>
            <w:tcW w:w="150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230,000</w:t>
            </w:r>
          </w:p>
        </w:tc>
      </w:tr>
      <w:tr w:rsidR="00626657" w:rsidTr="00DE228F">
        <w:tc>
          <w:tcPr>
            <w:tcW w:w="753" w:type="dxa"/>
            <w:tcBorders>
              <w:top w:val="single" w:sz="4" w:space="0" w:color="000000"/>
              <w:left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212" w:type="dxa"/>
            <w:tcBorders>
              <w:top w:val="single" w:sz="4" w:space="0" w:color="000000"/>
              <w:left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expenses</w:t>
            </w:r>
          </w:p>
        </w:tc>
        <w:tc>
          <w:tcPr>
            <w:tcW w:w="990" w:type="dxa"/>
            <w:tcBorders>
              <w:top w:val="single" w:sz="4" w:space="0" w:color="000000"/>
              <w:left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240,000</w:t>
            </w:r>
          </w:p>
        </w:tc>
        <w:tc>
          <w:tcPr>
            <w:tcW w:w="1710" w:type="dxa"/>
            <w:tcBorders>
              <w:top w:val="single" w:sz="4" w:space="0" w:color="000000"/>
              <w:left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213,032</w:t>
            </w:r>
          </w:p>
        </w:tc>
        <w:tc>
          <w:tcPr>
            <w:tcW w:w="1844" w:type="dxa"/>
            <w:tcBorders>
              <w:top w:val="single" w:sz="4" w:space="0" w:color="000000"/>
              <w:left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87.63%</w:t>
            </w:r>
          </w:p>
        </w:tc>
        <w:tc>
          <w:tcPr>
            <w:tcW w:w="150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219,000</w:t>
            </w:r>
          </w:p>
        </w:tc>
      </w:tr>
      <w:tr w:rsidR="00626657" w:rsidTr="00DE228F">
        <w:tc>
          <w:tcPr>
            <w:tcW w:w="753" w:type="dxa"/>
            <w:tcBorders>
              <w:top w:val="single" w:sz="4" w:space="0" w:color="000000"/>
              <w:left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212" w:type="dxa"/>
            <w:tcBorders>
              <w:top w:val="single" w:sz="4" w:space="0" w:color="000000"/>
              <w:left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w:t>
            </w:r>
          </w:p>
        </w:tc>
        <w:tc>
          <w:tcPr>
            <w:tcW w:w="990" w:type="dxa"/>
            <w:tcBorders>
              <w:top w:val="single" w:sz="4" w:space="0" w:color="000000"/>
              <w:left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10,000</w:t>
            </w:r>
          </w:p>
        </w:tc>
        <w:tc>
          <w:tcPr>
            <w:tcW w:w="1710" w:type="dxa"/>
            <w:tcBorders>
              <w:top w:val="single" w:sz="4" w:space="0" w:color="000000"/>
              <w:left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11,492</w:t>
            </w:r>
          </w:p>
        </w:tc>
        <w:tc>
          <w:tcPr>
            <w:tcW w:w="1844" w:type="dxa"/>
            <w:tcBorders>
              <w:top w:val="single" w:sz="4" w:space="0" w:color="000000"/>
              <w:left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149%</w:t>
            </w:r>
          </w:p>
        </w:tc>
        <w:tc>
          <w:tcPr>
            <w:tcW w:w="150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11,000</w:t>
            </w:r>
          </w:p>
        </w:tc>
      </w:tr>
      <w:tr w:rsidR="00626657" w:rsidTr="00DE228F">
        <w:tc>
          <w:tcPr>
            <w:tcW w:w="7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2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 payment rate</w:t>
            </w:r>
          </w:p>
        </w:tc>
        <w:tc>
          <w:tcPr>
            <w:tcW w:w="9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7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84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r>
    </w:tbl>
    <w:p w:rsidR="00626657" w:rsidRDefault="00023001">
      <w:pPr>
        <w:keepNext/>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Regarding the conducting of transactions with affiliated parties in 2024:</w:t>
      </w:r>
    </w:p>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policy of signing contracts and transactions with affiliated parties (</w:t>
      </w:r>
      <w:proofErr w:type="spellStart"/>
      <w:r>
        <w:rPr>
          <w:rFonts w:ascii="Arial" w:hAnsi="Arial"/>
          <w:color w:val="010000"/>
          <w:sz w:val="20"/>
        </w:rPr>
        <w:t>Buu</w:t>
      </w:r>
      <w:proofErr w:type="spellEnd"/>
      <w:r>
        <w:rPr>
          <w:rFonts w:ascii="Arial" w:hAnsi="Arial"/>
          <w:color w:val="010000"/>
          <w:sz w:val="20"/>
        </w:rPr>
        <w:t xml:space="preserve"> Long Investment and Development Company Limited) as follows:</w:t>
      </w:r>
    </w:p>
    <w:p w:rsidR="00626657" w:rsidRDefault="00023001">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lastRenderedPageBreak/>
        <w:t xml:space="preserve">Type of contract and transaction: Beer and soft drinks of all kinds selling, tour services for employees and partners provision of </w:t>
      </w:r>
      <w:proofErr w:type="spellStart"/>
      <w:r>
        <w:rPr>
          <w:rFonts w:ascii="Arial" w:hAnsi="Arial"/>
          <w:color w:val="010000"/>
          <w:sz w:val="20"/>
        </w:rPr>
        <w:t>Buu</w:t>
      </w:r>
      <w:proofErr w:type="spellEnd"/>
      <w:r>
        <w:rPr>
          <w:rFonts w:ascii="Arial" w:hAnsi="Arial"/>
          <w:color w:val="010000"/>
          <w:sz w:val="20"/>
        </w:rPr>
        <w:t xml:space="preserve"> Long Investment and Development Company Limited</w:t>
      </w:r>
    </w:p>
    <w:p w:rsidR="00626657" w:rsidRDefault="00023001">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The value of each contract, transaction which is less than 35% of the total value of the company’s assets was recorded in the latest Financial Statements.</w:t>
      </w:r>
    </w:p>
    <w:p w:rsidR="00626657" w:rsidRDefault="00023001">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Regarding the implementation of recommendations of the State Audit:</w:t>
      </w:r>
    </w:p>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Agree to transfer the owners’ other capital targets of VND 5,902,986,715 to undistributed profit after tax and distribute all dividends in 2024, submit to the General Meeting of Shareholders for comments according to regulations.</w:t>
      </w:r>
    </w:p>
    <w:p w:rsidR="00626657" w:rsidRDefault="00023001">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 xml:space="preserve">Regarding the renovation of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Hotel's facilities:</w:t>
      </w:r>
    </w:p>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Agree to invest in embellishing and upgrading the facade and some exterior areas of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Hotel, specifically as follows:</w:t>
      </w:r>
    </w:p>
    <w:p w:rsidR="00626657" w:rsidRDefault="00023001">
      <w:pPr>
        <w:numPr>
          <w:ilvl w:val="0"/>
          <w:numId w:val="4"/>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 xml:space="preserve">Categories: Gates and facades renovation </w:t>
      </w:r>
    </w:p>
    <w:p w:rsidR="00626657" w:rsidRDefault="00023001">
      <w:pPr>
        <w:numPr>
          <w:ilvl w:val="0"/>
          <w:numId w:val="4"/>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Expected total investment VND 1,108,000,000 (according to project estimate data).</w:t>
      </w:r>
    </w:p>
    <w:p w:rsidR="00626657" w:rsidRDefault="00023001">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Agree the salary fund implemented in 2023 of the Company as follows:</w:t>
      </w:r>
    </w:p>
    <w:p w:rsidR="00626657" w:rsidRDefault="00023001">
      <w:pPr>
        <w:keepNext/>
        <w:numPr>
          <w:ilvl w:val="0"/>
          <w:numId w:val="6"/>
        </w:numPr>
        <w:pBdr>
          <w:top w:val="nil"/>
          <w:left w:val="nil"/>
          <w:bottom w:val="nil"/>
          <w:right w:val="nil"/>
          <w:between w:val="nil"/>
        </w:pBdr>
        <w:tabs>
          <w:tab w:val="left" w:pos="720"/>
          <w:tab w:val="left" w:pos="7225"/>
        </w:tabs>
        <w:spacing w:after="120" w:line="360" w:lineRule="auto"/>
        <w:rPr>
          <w:rFonts w:ascii="Arial" w:eastAsia="Arial" w:hAnsi="Arial" w:cs="Arial"/>
          <w:color w:val="010000"/>
          <w:sz w:val="20"/>
          <w:szCs w:val="20"/>
        </w:rPr>
      </w:pPr>
      <w:r>
        <w:rPr>
          <w:rFonts w:ascii="Arial" w:hAnsi="Arial"/>
          <w:color w:val="010000"/>
          <w:sz w:val="20"/>
        </w:rPr>
        <w:t>Realized salary fund in 2023: VND 21,172,258,008</w:t>
      </w:r>
    </w:p>
    <w:p w:rsidR="00626657" w:rsidRDefault="00023001">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In which:</w:t>
      </w:r>
    </w:p>
    <w:p w:rsidR="00626657" w:rsidRDefault="00023001">
      <w:pPr>
        <w:numPr>
          <w:ilvl w:val="0"/>
          <w:numId w:val="4"/>
        </w:numPr>
        <w:pBdr>
          <w:top w:val="nil"/>
          <w:left w:val="nil"/>
          <w:bottom w:val="nil"/>
          <w:right w:val="nil"/>
          <w:between w:val="nil"/>
        </w:pBdr>
        <w:tabs>
          <w:tab w:val="left" w:pos="720"/>
          <w:tab w:val="left" w:pos="1547"/>
          <w:tab w:val="left" w:pos="7225"/>
        </w:tabs>
        <w:spacing w:after="120" w:line="360" w:lineRule="auto"/>
        <w:rPr>
          <w:rFonts w:ascii="Arial" w:eastAsia="Arial" w:hAnsi="Arial" w:cs="Arial"/>
          <w:color w:val="010000"/>
          <w:sz w:val="20"/>
          <w:szCs w:val="20"/>
        </w:rPr>
      </w:pPr>
      <w:r>
        <w:rPr>
          <w:rFonts w:ascii="Arial" w:hAnsi="Arial"/>
          <w:color w:val="010000"/>
          <w:sz w:val="20"/>
        </w:rPr>
        <w:t>Employee: VND 19,945,032,408</w:t>
      </w:r>
    </w:p>
    <w:p w:rsidR="00626657" w:rsidRDefault="00023001">
      <w:pPr>
        <w:numPr>
          <w:ilvl w:val="0"/>
          <w:numId w:val="4"/>
        </w:numPr>
        <w:pBdr>
          <w:top w:val="nil"/>
          <w:left w:val="nil"/>
          <w:bottom w:val="nil"/>
          <w:right w:val="nil"/>
          <w:between w:val="nil"/>
        </w:pBdr>
        <w:tabs>
          <w:tab w:val="left" w:pos="720"/>
          <w:tab w:val="left" w:pos="1547"/>
          <w:tab w:val="left" w:pos="7225"/>
        </w:tabs>
        <w:spacing w:after="120" w:line="360" w:lineRule="auto"/>
        <w:rPr>
          <w:rFonts w:ascii="Arial" w:eastAsia="Arial" w:hAnsi="Arial" w:cs="Arial"/>
          <w:color w:val="010000"/>
          <w:sz w:val="20"/>
          <w:szCs w:val="20"/>
        </w:rPr>
      </w:pPr>
      <w:r>
        <w:rPr>
          <w:rFonts w:ascii="Arial" w:hAnsi="Arial"/>
          <w:color w:val="010000"/>
          <w:sz w:val="20"/>
        </w:rPr>
        <w:t>Company’s managers: VND 1,227,225,600</w:t>
      </w:r>
    </w:p>
    <w:p w:rsidR="00626657" w:rsidRDefault="00023001">
      <w:pPr>
        <w:keepNext/>
        <w:numPr>
          <w:ilvl w:val="0"/>
          <w:numId w:val="6"/>
        </w:numPr>
        <w:pBdr>
          <w:top w:val="nil"/>
          <w:left w:val="nil"/>
          <w:bottom w:val="nil"/>
          <w:right w:val="nil"/>
          <w:between w:val="nil"/>
        </w:pBdr>
        <w:tabs>
          <w:tab w:val="left" w:pos="720"/>
          <w:tab w:val="left" w:pos="7225"/>
        </w:tabs>
        <w:spacing w:after="120" w:line="360" w:lineRule="auto"/>
        <w:rPr>
          <w:rFonts w:ascii="Arial" w:eastAsia="Arial" w:hAnsi="Arial" w:cs="Arial"/>
          <w:color w:val="010000"/>
          <w:sz w:val="20"/>
          <w:szCs w:val="20"/>
        </w:rPr>
      </w:pPr>
      <w:r>
        <w:rPr>
          <w:rFonts w:ascii="Arial" w:hAnsi="Arial"/>
          <w:color w:val="010000"/>
          <w:sz w:val="20"/>
        </w:rPr>
        <w:t>Bonus and welfare fund in 2023:  VND 5,139,661,302</w:t>
      </w:r>
    </w:p>
    <w:p w:rsidR="00626657" w:rsidRDefault="00023001">
      <w:pPr>
        <w:numPr>
          <w:ilvl w:val="0"/>
          <w:numId w:val="4"/>
        </w:numPr>
        <w:pBdr>
          <w:top w:val="nil"/>
          <w:left w:val="nil"/>
          <w:bottom w:val="nil"/>
          <w:right w:val="nil"/>
          <w:between w:val="nil"/>
        </w:pBdr>
        <w:tabs>
          <w:tab w:val="left" w:pos="720"/>
          <w:tab w:val="left" w:pos="1547"/>
          <w:tab w:val="left" w:pos="7225"/>
        </w:tabs>
        <w:spacing w:after="120" w:line="360" w:lineRule="auto"/>
        <w:rPr>
          <w:rFonts w:ascii="Arial" w:eastAsia="Arial" w:hAnsi="Arial" w:cs="Arial"/>
          <w:color w:val="010000"/>
          <w:sz w:val="20"/>
          <w:szCs w:val="20"/>
        </w:rPr>
      </w:pPr>
      <w:r>
        <w:rPr>
          <w:rFonts w:ascii="Arial" w:hAnsi="Arial"/>
          <w:color w:val="010000"/>
          <w:sz w:val="20"/>
        </w:rPr>
        <w:t>Employee (03 Months Average Realized Salary): VND 4,986,258,102</w:t>
      </w:r>
    </w:p>
    <w:p w:rsidR="00626657" w:rsidRDefault="00023001">
      <w:pPr>
        <w:numPr>
          <w:ilvl w:val="0"/>
          <w:numId w:val="4"/>
        </w:numPr>
        <w:pBdr>
          <w:top w:val="nil"/>
          <w:left w:val="nil"/>
          <w:bottom w:val="nil"/>
          <w:right w:val="nil"/>
          <w:between w:val="nil"/>
        </w:pBdr>
        <w:tabs>
          <w:tab w:val="left" w:pos="720"/>
          <w:tab w:val="left" w:pos="1547"/>
          <w:tab w:val="left" w:pos="7491"/>
        </w:tabs>
        <w:spacing w:after="120" w:line="360" w:lineRule="auto"/>
        <w:rPr>
          <w:rFonts w:ascii="Arial" w:eastAsia="Arial" w:hAnsi="Arial" w:cs="Arial"/>
          <w:color w:val="010000"/>
          <w:sz w:val="20"/>
          <w:szCs w:val="20"/>
        </w:rPr>
      </w:pPr>
      <w:r>
        <w:rPr>
          <w:rFonts w:ascii="Arial" w:hAnsi="Arial"/>
          <w:color w:val="010000"/>
          <w:sz w:val="20"/>
        </w:rPr>
        <w:t>Company Manager (1.5 Month Average Realized Salary): VND 153,403,200</w:t>
      </w:r>
    </w:p>
    <w:p w:rsidR="00626657" w:rsidRDefault="00023001">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Assign the Board of Managers of the Company to direct relevant departments and divisions to implement the above contents, ensuring compliance with current legal regulations.</w:t>
      </w:r>
    </w:p>
    <w:p w:rsidR="00626657" w:rsidRDefault="00626657">
      <w:pPr>
        <w:keepNext/>
        <w:pBdr>
          <w:top w:val="nil"/>
          <w:left w:val="nil"/>
          <w:bottom w:val="nil"/>
          <w:right w:val="nil"/>
          <w:between w:val="nil"/>
        </w:pBdr>
        <w:spacing w:after="120" w:line="360" w:lineRule="auto"/>
        <w:rPr>
          <w:rFonts w:ascii="Arial" w:eastAsia="Arial" w:hAnsi="Arial" w:cs="Arial"/>
          <w:color w:val="010000"/>
          <w:sz w:val="20"/>
          <w:szCs w:val="20"/>
        </w:rPr>
      </w:pPr>
    </w:p>
    <w:sectPr w:rsidR="00626657">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74FB0"/>
    <w:multiLevelType w:val="multilevel"/>
    <w:tmpl w:val="910020E6"/>
    <w:lvl w:ilvl="0">
      <w:start w:val="1"/>
      <w:numFmt w:val="bullet"/>
      <w:lvlText w:val="-"/>
      <w:lvlJc w:val="left"/>
      <w:pPr>
        <w:ind w:left="0" w:firstLine="0"/>
      </w:pPr>
      <w:rPr>
        <w:rFonts w:ascii="Arial" w:eastAsia="Arial" w:hAnsi="Arial" w:cs="Arial"/>
        <w:b w:val="0"/>
        <w:i w:val="0"/>
        <w:smallCaps w:val="0"/>
        <w:strike w:val="0"/>
        <w:color w:val="1D2538"/>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75F3246"/>
    <w:multiLevelType w:val="multilevel"/>
    <w:tmpl w:val="C510B252"/>
    <w:lvl w:ilvl="0">
      <w:start w:val="1"/>
      <w:numFmt w:val="upp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6830B1"/>
    <w:multiLevelType w:val="multilevel"/>
    <w:tmpl w:val="6B0E59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C738B4"/>
    <w:multiLevelType w:val="multilevel"/>
    <w:tmpl w:val="14901D3E"/>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0F08BA"/>
    <w:multiLevelType w:val="multilevel"/>
    <w:tmpl w:val="F41C94BE"/>
    <w:lvl w:ilvl="0">
      <w:start w:val="1"/>
      <w:numFmt w:val="decimal"/>
      <w:lvlText w:val="%1."/>
      <w:lvlJc w:val="left"/>
      <w:pPr>
        <w:ind w:left="0" w:firstLine="0"/>
      </w:pPr>
      <w:rPr>
        <w:rFonts w:ascii="Arial" w:eastAsia="Arial" w:hAnsi="Arial" w:cs="Arial"/>
        <w:b w:val="0"/>
        <w:i w:val="0"/>
        <w:smallCaps w:val="0"/>
        <w:strike w:val="0"/>
        <w:color w:val="1D2538"/>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821455D"/>
    <w:multiLevelType w:val="multilevel"/>
    <w:tmpl w:val="7576A9B4"/>
    <w:lvl w:ilvl="0">
      <w:start w:val="1"/>
      <w:numFmt w:val="decimal"/>
      <w:lvlText w:val="%1."/>
      <w:lvlJc w:val="left"/>
      <w:pPr>
        <w:ind w:left="0" w:firstLine="0"/>
      </w:pPr>
      <w:rPr>
        <w:rFonts w:ascii="Arial" w:eastAsia="Arial" w:hAnsi="Arial" w:cs="Arial"/>
        <w:b w:val="0"/>
        <w:i w:val="0"/>
        <w:smallCaps w:val="0"/>
        <w:strike w:val="0"/>
        <w:color w:val="1D2538"/>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57"/>
    <w:rsid w:val="00023001"/>
    <w:rsid w:val="00626657"/>
    <w:rsid w:val="00DE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6E2D3"/>
  <w15:docId w15:val="{9D903284-7645-45FB-BCD4-9928BA5E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D253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1D2538"/>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color w:val="1D2538"/>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1D2538"/>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CF4156"/>
      <w:sz w:val="17"/>
      <w:szCs w:val="17"/>
      <w:u w:val="none"/>
      <w:shd w:val="clear" w:color="auto" w:fill="auto"/>
    </w:rPr>
  </w:style>
  <w:style w:type="character" w:customStyle="1" w:styleId="Vnbnnidung6">
    <w:name w:val="Văn bản nội dung (6)_"/>
    <w:basedOn w:val="DefaultParagraphFont"/>
    <w:link w:val="Vnbnnidung60"/>
    <w:rPr>
      <w:rFonts w:ascii="Arial" w:eastAsia="Arial" w:hAnsi="Arial" w:cs="Arial"/>
      <w:b/>
      <w:bCs/>
      <w:i w:val="0"/>
      <w:iCs w:val="0"/>
      <w:smallCaps w:val="0"/>
      <w:strike w:val="0"/>
      <w:color w:val="CF4156"/>
      <w:sz w:val="17"/>
      <w:szCs w:val="17"/>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1D2538"/>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5"/>
      <w:szCs w:val="15"/>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1D2538"/>
      <w:sz w:val="19"/>
      <w:szCs w:val="19"/>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42"/>
      <w:szCs w:val="42"/>
      <w:u w:val="none"/>
      <w:shd w:val="clear" w:color="auto" w:fill="auto"/>
    </w:rPr>
  </w:style>
  <w:style w:type="paragraph" w:customStyle="1" w:styleId="Vnbnnidung0">
    <w:name w:val="Văn bản nội dung"/>
    <w:basedOn w:val="Normal"/>
    <w:link w:val="Vnbnnidung"/>
    <w:pPr>
      <w:spacing w:line="250" w:lineRule="auto"/>
      <w:ind w:firstLine="400"/>
    </w:pPr>
    <w:rPr>
      <w:rFonts w:ascii="Times New Roman" w:eastAsia="Times New Roman" w:hAnsi="Times New Roman" w:cs="Times New Roman"/>
      <w:color w:val="1D2538"/>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color w:val="1D2538"/>
      <w:sz w:val="28"/>
      <w:szCs w:val="28"/>
    </w:rPr>
  </w:style>
  <w:style w:type="paragraph" w:customStyle="1" w:styleId="Chthchbng0">
    <w:name w:val="Chú thích bảng"/>
    <w:basedOn w:val="Normal"/>
    <w:link w:val="Chthchbng"/>
    <w:rPr>
      <w:rFonts w:ascii="Times New Roman" w:eastAsia="Times New Roman" w:hAnsi="Times New Roman" w:cs="Times New Roman"/>
      <w:b/>
      <w:bCs/>
      <w:color w:val="1D2538"/>
      <w:sz w:val="26"/>
      <w:szCs w:val="26"/>
    </w:rPr>
  </w:style>
  <w:style w:type="paragraph" w:customStyle="1" w:styleId="Khc0">
    <w:name w:val="Khác"/>
    <w:basedOn w:val="Normal"/>
    <w:link w:val="Khc"/>
    <w:pPr>
      <w:spacing w:line="250" w:lineRule="auto"/>
      <w:ind w:firstLine="400"/>
    </w:pPr>
    <w:rPr>
      <w:rFonts w:ascii="Times New Roman" w:eastAsia="Times New Roman" w:hAnsi="Times New Roman" w:cs="Times New Roman"/>
      <w:color w:val="1D2538"/>
    </w:rPr>
  </w:style>
  <w:style w:type="paragraph" w:customStyle="1" w:styleId="Vnbnnidung50">
    <w:name w:val="Văn bản nội dung (5)"/>
    <w:basedOn w:val="Normal"/>
    <w:link w:val="Vnbnnidung5"/>
    <w:pPr>
      <w:spacing w:line="336" w:lineRule="auto"/>
      <w:jc w:val="right"/>
    </w:pPr>
    <w:rPr>
      <w:rFonts w:ascii="Times New Roman" w:eastAsia="Times New Roman" w:hAnsi="Times New Roman" w:cs="Times New Roman"/>
      <w:color w:val="CF4156"/>
      <w:sz w:val="17"/>
      <w:szCs w:val="17"/>
    </w:rPr>
  </w:style>
  <w:style w:type="paragraph" w:customStyle="1" w:styleId="Vnbnnidung60">
    <w:name w:val="Văn bản nội dung (6)"/>
    <w:basedOn w:val="Normal"/>
    <w:link w:val="Vnbnnidung6"/>
    <w:pPr>
      <w:spacing w:line="312" w:lineRule="auto"/>
      <w:jc w:val="right"/>
    </w:pPr>
    <w:rPr>
      <w:rFonts w:ascii="Arial" w:eastAsia="Arial" w:hAnsi="Arial" w:cs="Arial"/>
      <w:b/>
      <w:bCs/>
      <w:color w:val="CF4156"/>
      <w:sz w:val="17"/>
      <w:szCs w:val="17"/>
    </w:rPr>
  </w:style>
  <w:style w:type="paragraph" w:customStyle="1" w:styleId="Tiu20">
    <w:name w:val="Tiêu đề #2"/>
    <w:basedOn w:val="Normal"/>
    <w:link w:val="Tiu2"/>
    <w:pPr>
      <w:spacing w:line="370" w:lineRule="auto"/>
      <w:ind w:left="640" w:firstLine="370"/>
      <w:outlineLvl w:val="1"/>
    </w:pPr>
    <w:rPr>
      <w:rFonts w:ascii="Times New Roman" w:eastAsia="Times New Roman" w:hAnsi="Times New Roman" w:cs="Times New Roman"/>
      <w:b/>
      <w:bCs/>
      <w:color w:val="1D2538"/>
      <w:sz w:val="26"/>
      <w:szCs w:val="26"/>
    </w:rPr>
  </w:style>
  <w:style w:type="paragraph" w:customStyle="1" w:styleId="Vnbnnidung20">
    <w:name w:val="Văn bản nội dung (2)"/>
    <w:basedOn w:val="Normal"/>
    <w:link w:val="Vnbnnidung2"/>
    <w:pPr>
      <w:spacing w:line="233" w:lineRule="auto"/>
    </w:pPr>
    <w:rPr>
      <w:rFonts w:ascii="Arial" w:eastAsia="Arial" w:hAnsi="Arial" w:cs="Arial"/>
      <w:sz w:val="15"/>
      <w:szCs w:val="15"/>
    </w:rPr>
  </w:style>
  <w:style w:type="paragraph" w:customStyle="1" w:styleId="Vnbnnidung40">
    <w:name w:val="Văn bản nội dung (4)"/>
    <w:basedOn w:val="Normal"/>
    <w:link w:val="Vnbnnidung4"/>
    <w:pPr>
      <w:ind w:firstLine="760"/>
    </w:pPr>
    <w:rPr>
      <w:rFonts w:ascii="Times New Roman" w:eastAsia="Times New Roman" w:hAnsi="Times New Roman" w:cs="Times New Roman"/>
      <w:color w:val="1D2538"/>
      <w:sz w:val="19"/>
      <w:szCs w:val="19"/>
    </w:rPr>
  </w:style>
  <w:style w:type="paragraph" w:customStyle="1" w:styleId="Tiu10">
    <w:name w:val="Tiêu đề #1"/>
    <w:basedOn w:val="Normal"/>
    <w:link w:val="Tiu1"/>
    <w:pPr>
      <w:ind w:left="960" w:firstLine="10"/>
      <w:outlineLvl w:val="0"/>
    </w:pPr>
    <w:rPr>
      <w:rFonts w:ascii="Arial" w:eastAsia="Arial" w:hAnsi="Arial" w:cs="Arial"/>
      <w:sz w:val="42"/>
      <w:szCs w:val="4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pKRbnQD0JIsZzbODs6/pGb9+dQ==">CgMxLjA4AHIhMU8yMDZQaDdLQ0F6eHVWckdrbElzcTRuYTVYTjdfNmpJ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440</Words>
  <Characters>2513</Characters>
  <Application>Microsoft Office Word</Application>
  <DocSecurity>0</DocSecurity>
  <Lines>20</Lines>
  <Paragraphs>5</Paragraphs>
  <ScaleCrop>false</ScaleCrop>
  <Company>Microsoft</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Trinh Ha Phuong</cp:lastModifiedBy>
  <cp:revision>4</cp:revision>
  <dcterms:created xsi:type="dcterms:W3CDTF">2024-04-03T04:05:00Z</dcterms:created>
  <dcterms:modified xsi:type="dcterms:W3CDTF">2024-04-04T10:05:00Z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528be582a8d682858c24d037b9719984383d20887bfa4692142bccc7656b91ed</vt:lpwstr>
  </property>
</Properties>
</file>