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GKM: Board Resolution</w:t>
      </w:r>
    </w:p>
    <w:p w14:paraId="00000002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2, 2024, GKM Holdings Joint Stock Company announced Resolution No. 06/2024/KM/NQ-HDQT on approving the capital contribution transaction/deposit for capital contribution to APG ECO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Joint Stock Company as follows: </w:t>
      </w:r>
    </w:p>
    <w:p w14:paraId="00000003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signing the agreement, implementing capital contribution/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deposit transactions to APG ECO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Joint Stock Company with the following main contents:</w:t>
      </w:r>
    </w:p>
    <w:p w14:paraId="00000004" w14:textId="77777777" w:rsidR="00AA4DD8" w:rsidRDefault="00005D3C" w:rsidP="00005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organization receiving capital contribution: APG ECO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Joint Stock Com</w:t>
      </w:r>
      <w:r>
        <w:rPr>
          <w:rFonts w:ascii="Arial" w:hAnsi="Arial"/>
          <w:color w:val="010000"/>
          <w:sz w:val="20"/>
        </w:rPr>
        <w:t xml:space="preserve">pany </w:t>
      </w:r>
    </w:p>
    <w:p w14:paraId="00000005" w14:textId="77777777" w:rsidR="00AA4DD8" w:rsidRDefault="00005D3C" w:rsidP="00005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Business code: 5400519705</w:t>
      </w:r>
    </w:p>
    <w:p w14:paraId="00000006" w14:textId="77777777" w:rsidR="00AA4DD8" w:rsidRDefault="00005D3C" w:rsidP="00005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types: Capital contribution/deposit for capital contribution</w:t>
      </w:r>
    </w:p>
    <w:p w14:paraId="00000007" w14:textId="77777777" w:rsidR="00AA4DD8" w:rsidRDefault="00005D3C" w:rsidP="00005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transaction value: VND 54 billion; </w:t>
      </w:r>
      <w:r>
        <w:rPr>
          <w:rFonts w:ascii="Arial" w:hAnsi="Arial"/>
          <w:color w:val="010000"/>
          <w:sz w:val="20"/>
        </w:rPr>
        <w:t>The Board of Directors authorizes the Chair of the Board of Directors to decide the transfer value not exceeding 35% of the Company's total assets on the most recent Financial Statements at the time of signing the share transfer contract.</w:t>
      </w:r>
    </w:p>
    <w:p w14:paraId="00000008" w14:textId="77777777" w:rsidR="00AA4DD8" w:rsidRDefault="00005D3C" w:rsidP="00005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transact</w:t>
      </w:r>
      <w:r>
        <w:rPr>
          <w:rFonts w:ascii="Arial" w:hAnsi="Arial"/>
          <w:color w:val="010000"/>
          <w:sz w:val="20"/>
        </w:rPr>
        <w:t>ion value: 2024</w:t>
      </w:r>
    </w:p>
    <w:p w14:paraId="00000009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Organization and Implementation</w:t>
      </w:r>
    </w:p>
    <w:p w14:paraId="0000000A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authorizes the Chair of the Board of Directors of the Company to negotiate, sign contracts and decide/approve other related contents to complete capital contribution proced</w:t>
      </w:r>
      <w:r>
        <w:rPr>
          <w:rFonts w:ascii="Arial" w:hAnsi="Arial"/>
          <w:color w:val="010000"/>
          <w:sz w:val="20"/>
        </w:rPr>
        <w:t>ures to ensure compliance with regulation of law and the Company's Charter.</w:t>
      </w:r>
    </w:p>
    <w:p w14:paraId="0000000B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‎‎Article 3. Effectiveness of enforcement</w:t>
      </w:r>
    </w:p>
    <w:p w14:paraId="0000000C" w14:textId="77777777" w:rsidR="00AA4DD8" w:rsidRDefault="00005D3C" w:rsidP="00005D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  <w:highlight w:val="white"/>
        </w:rPr>
        <w:t xml:space="preserve">This Resolution takes effect from the date of its signing. </w:t>
      </w:r>
      <w:r>
        <w:rPr>
          <w:rFonts w:ascii="Arial" w:hAnsi="Arial"/>
          <w:color w:val="010000"/>
          <w:sz w:val="20"/>
        </w:rPr>
        <w:t>Members of the Board of Directors, the Board of Management, divisions and depar</w:t>
      </w:r>
      <w:r>
        <w:rPr>
          <w:rFonts w:ascii="Arial" w:hAnsi="Arial"/>
          <w:color w:val="010000"/>
          <w:sz w:val="20"/>
        </w:rPr>
        <w:t>tments under the Company, and relevant individuals are responsible for implementing this Resolution.</w:t>
      </w:r>
    </w:p>
    <w:sectPr w:rsidR="00AA4DD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64A"/>
    <w:multiLevelType w:val="multilevel"/>
    <w:tmpl w:val="8DBCEF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D3C"/>
    <w:rsid w:val="00A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C9E52-6305-476E-859E-E97D136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k9PUXeq//jRytJLkN2ouwtevQ==">CgMxLjAyCGguZ2pkZ3hzOAByITE5ZVlQYlZybUNwck1iZXBSWWpkd0gzRTBiZUdfT0pkSQ==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HP Inc.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2</cp:revision>
  <dcterms:created xsi:type="dcterms:W3CDTF">2024-04-04T04:41:00Z</dcterms:created>
  <dcterms:modified xsi:type="dcterms:W3CDTF">2024-04-05T09:44:00Z</dcterms:modified>
</cp:coreProperties>
</file>