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8EA6" w14:textId="77777777" w:rsidR="00CB07C4" w:rsidRPr="00CA6CEA" w:rsidRDefault="002D2BA1" w:rsidP="00B82566">
      <w:pPr>
        <w:pBdr>
          <w:top w:val="nil"/>
          <w:left w:val="nil"/>
          <w:bottom w:val="nil"/>
          <w:right w:val="nil"/>
          <w:between w:val="nil"/>
        </w:pBdr>
        <w:spacing w:after="120" w:line="360" w:lineRule="auto"/>
        <w:jc w:val="both"/>
        <w:rPr>
          <w:rFonts w:ascii="Arial" w:eastAsia="Arial" w:hAnsi="Arial" w:cs="Arial"/>
          <w:b/>
          <w:color w:val="010000"/>
          <w:sz w:val="20"/>
          <w:szCs w:val="20"/>
        </w:rPr>
      </w:pPr>
      <w:r w:rsidRPr="00CA6CEA">
        <w:rPr>
          <w:rFonts w:ascii="Arial" w:hAnsi="Arial" w:cs="Arial"/>
          <w:b/>
          <w:color w:val="010000"/>
          <w:sz w:val="20"/>
        </w:rPr>
        <w:t>HPD: Annual General Mandate 2024</w:t>
      </w:r>
    </w:p>
    <w:p w14:paraId="3C2454A4" w14:textId="77777777"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t xml:space="preserve">On March 29, 2024, </w:t>
      </w:r>
      <w:proofErr w:type="spellStart"/>
      <w:r w:rsidRPr="00CA6CEA">
        <w:rPr>
          <w:rFonts w:ascii="Arial" w:hAnsi="Arial" w:cs="Arial"/>
          <w:color w:val="010000"/>
          <w:sz w:val="20"/>
        </w:rPr>
        <w:t>Dak</w:t>
      </w:r>
      <w:proofErr w:type="spellEnd"/>
      <w:r w:rsidRPr="00CA6CEA">
        <w:rPr>
          <w:rFonts w:ascii="Arial" w:hAnsi="Arial" w:cs="Arial"/>
          <w:color w:val="010000"/>
          <w:sz w:val="20"/>
        </w:rPr>
        <w:t xml:space="preserve"> </w:t>
      </w:r>
      <w:proofErr w:type="spellStart"/>
      <w:r w:rsidRPr="00CA6CEA">
        <w:rPr>
          <w:rFonts w:ascii="Arial" w:hAnsi="Arial" w:cs="Arial"/>
          <w:color w:val="010000"/>
          <w:sz w:val="20"/>
        </w:rPr>
        <w:t>Doa</w:t>
      </w:r>
      <w:proofErr w:type="spellEnd"/>
      <w:r w:rsidRPr="00CA6CEA">
        <w:rPr>
          <w:rFonts w:ascii="Arial" w:hAnsi="Arial" w:cs="Arial"/>
          <w:color w:val="010000"/>
          <w:sz w:val="20"/>
        </w:rPr>
        <w:t xml:space="preserve"> Hydropower Joint Stock Company announced General Mandate No. 01/NQ-DHDCD as follows: </w:t>
      </w:r>
    </w:p>
    <w:p w14:paraId="58CFE55A" w14:textId="77777777"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t>‎‎Article 1. Approve the production, business and investment results in 2023.</w:t>
      </w:r>
    </w:p>
    <w:p w14:paraId="3A9E9C5D" w14:textId="77777777" w:rsidR="00CB07C4" w:rsidRPr="00CA6CEA" w:rsidRDefault="002D2BA1" w:rsidP="00B82566">
      <w:pPr>
        <w:pBdr>
          <w:top w:val="nil"/>
          <w:left w:val="nil"/>
          <w:bottom w:val="nil"/>
          <w:right w:val="nil"/>
          <w:between w:val="nil"/>
        </w:pBdr>
        <w:tabs>
          <w:tab w:val="left" w:pos="3795"/>
        </w:tabs>
        <w:spacing w:after="120" w:line="360" w:lineRule="auto"/>
        <w:jc w:val="both"/>
        <w:rPr>
          <w:rFonts w:ascii="Arial" w:eastAsia="Arial" w:hAnsi="Arial" w:cs="Arial"/>
          <w:color w:val="010000"/>
          <w:sz w:val="20"/>
          <w:szCs w:val="20"/>
        </w:rPr>
      </w:pPr>
      <w:r w:rsidRPr="00CA6CEA">
        <w:rPr>
          <w:rFonts w:ascii="Arial" w:hAnsi="Arial" w:cs="Arial"/>
          <w:color w:val="010000"/>
          <w:sz w:val="20"/>
        </w:rPr>
        <w:t xml:space="preserve"> Unit: Thousand VND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6"/>
        <w:gridCol w:w="4742"/>
        <w:gridCol w:w="1388"/>
        <w:gridCol w:w="1259"/>
        <w:gridCol w:w="1032"/>
      </w:tblGrid>
      <w:tr w:rsidR="00CB07C4" w:rsidRPr="00CA6CEA" w14:paraId="63B5F9A8" w14:textId="77777777" w:rsidTr="00CA6CEA">
        <w:tc>
          <w:tcPr>
            <w:tcW w:w="361" w:type="pct"/>
            <w:shd w:val="clear" w:color="auto" w:fill="auto"/>
            <w:tcMar>
              <w:top w:w="0" w:type="dxa"/>
              <w:bottom w:w="0" w:type="dxa"/>
            </w:tcMar>
            <w:vAlign w:val="center"/>
          </w:tcPr>
          <w:p w14:paraId="71E1807C"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No.</w:t>
            </w:r>
          </w:p>
        </w:tc>
        <w:tc>
          <w:tcPr>
            <w:tcW w:w="2660" w:type="pct"/>
            <w:shd w:val="clear" w:color="auto" w:fill="auto"/>
            <w:tcMar>
              <w:top w:w="0" w:type="dxa"/>
              <w:bottom w:w="0" w:type="dxa"/>
            </w:tcMar>
            <w:vAlign w:val="center"/>
          </w:tcPr>
          <w:p w14:paraId="730B1A0B"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Target</w:t>
            </w:r>
          </w:p>
        </w:tc>
        <w:tc>
          <w:tcPr>
            <w:tcW w:w="800" w:type="pct"/>
            <w:shd w:val="clear" w:color="auto" w:fill="auto"/>
            <w:tcMar>
              <w:top w:w="0" w:type="dxa"/>
              <w:bottom w:w="0" w:type="dxa"/>
            </w:tcMar>
            <w:vAlign w:val="center"/>
          </w:tcPr>
          <w:p w14:paraId="0BF301B9" w14:textId="0D8F1B4E"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2023 Plan (</w:t>
            </w:r>
            <w:r w:rsidR="00B82566">
              <w:rPr>
                <w:rFonts w:ascii="Arial" w:hAnsi="Arial" w:cs="Arial"/>
                <w:color w:val="010000"/>
                <w:sz w:val="20"/>
              </w:rPr>
              <w:t>General Meeting</w:t>
            </w:r>
            <w:r w:rsidRPr="00CA6CEA">
              <w:rPr>
                <w:rFonts w:ascii="Arial" w:hAnsi="Arial" w:cs="Arial"/>
                <w:color w:val="010000"/>
                <w:sz w:val="20"/>
              </w:rPr>
              <w:t>s)</w:t>
            </w:r>
          </w:p>
        </w:tc>
        <w:tc>
          <w:tcPr>
            <w:tcW w:w="728" w:type="pct"/>
            <w:shd w:val="clear" w:color="auto" w:fill="auto"/>
            <w:tcMar>
              <w:top w:w="0" w:type="dxa"/>
              <w:bottom w:w="0" w:type="dxa"/>
            </w:tcMar>
            <w:vAlign w:val="center"/>
          </w:tcPr>
          <w:p w14:paraId="0495D51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2023 Results</w:t>
            </w:r>
          </w:p>
        </w:tc>
        <w:tc>
          <w:tcPr>
            <w:tcW w:w="451" w:type="pct"/>
            <w:shd w:val="clear" w:color="auto" w:fill="auto"/>
            <w:tcMar>
              <w:top w:w="0" w:type="dxa"/>
              <w:bottom w:w="0" w:type="dxa"/>
            </w:tcMar>
            <w:vAlign w:val="center"/>
          </w:tcPr>
          <w:p w14:paraId="031BFC98"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Completion rate</w:t>
            </w:r>
          </w:p>
        </w:tc>
      </w:tr>
      <w:tr w:rsidR="00CB07C4" w:rsidRPr="00CA6CEA" w14:paraId="6B4BFB08" w14:textId="77777777" w:rsidTr="00CA6CEA">
        <w:tc>
          <w:tcPr>
            <w:tcW w:w="361" w:type="pct"/>
            <w:shd w:val="clear" w:color="auto" w:fill="auto"/>
            <w:tcMar>
              <w:top w:w="0" w:type="dxa"/>
              <w:bottom w:w="0" w:type="dxa"/>
            </w:tcMar>
            <w:vAlign w:val="center"/>
          </w:tcPr>
          <w:p w14:paraId="573782D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A</w:t>
            </w:r>
          </w:p>
        </w:tc>
        <w:tc>
          <w:tcPr>
            <w:tcW w:w="2660" w:type="pct"/>
            <w:shd w:val="clear" w:color="auto" w:fill="auto"/>
            <w:tcMar>
              <w:top w:w="0" w:type="dxa"/>
              <w:bottom w:w="0" w:type="dxa"/>
            </w:tcMar>
            <w:vAlign w:val="center"/>
          </w:tcPr>
          <w:p w14:paraId="07A356AA"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 xml:space="preserve">Production and business targets </w:t>
            </w:r>
          </w:p>
        </w:tc>
        <w:tc>
          <w:tcPr>
            <w:tcW w:w="800" w:type="pct"/>
            <w:shd w:val="clear" w:color="auto" w:fill="auto"/>
            <w:tcMar>
              <w:top w:w="0" w:type="dxa"/>
              <w:bottom w:w="0" w:type="dxa"/>
            </w:tcMar>
            <w:vAlign w:val="center"/>
          </w:tcPr>
          <w:p w14:paraId="20406218" w14:textId="77777777" w:rsidR="00CB07C4" w:rsidRPr="00CA6CEA" w:rsidRDefault="00CB07C4" w:rsidP="00CA6CEA">
            <w:pPr>
              <w:spacing w:after="120" w:line="360" w:lineRule="auto"/>
              <w:rPr>
                <w:rFonts w:ascii="Arial" w:eastAsia="Arial" w:hAnsi="Arial" w:cs="Arial"/>
                <w:color w:val="010000"/>
                <w:sz w:val="20"/>
                <w:szCs w:val="20"/>
              </w:rPr>
            </w:pPr>
          </w:p>
        </w:tc>
        <w:tc>
          <w:tcPr>
            <w:tcW w:w="728" w:type="pct"/>
            <w:shd w:val="clear" w:color="auto" w:fill="auto"/>
            <w:tcMar>
              <w:top w:w="0" w:type="dxa"/>
              <w:bottom w:w="0" w:type="dxa"/>
            </w:tcMar>
            <w:vAlign w:val="center"/>
          </w:tcPr>
          <w:p w14:paraId="60FFFE3F" w14:textId="77777777" w:rsidR="00CB07C4" w:rsidRPr="00CA6CEA" w:rsidRDefault="00CB07C4" w:rsidP="00CA6CEA">
            <w:pPr>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57C99452" w14:textId="77777777" w:rsidR="00CB07C4" w:rsidRPr="00CA6CEA" w:rsidRDefault="00CB07C4" w:rsidP="00CA6CEA">
            <w:pPr>
              <w:spacing w:after="120" w:line="360" w:lineRule="auto"/>
              <w:rPr>
                <w:rFonts w:ascii="Arial" w:eastAsia="Arial" w:hAnsi="Arial" w:cs="Arial"/>
                <w:color w:val="010000"/>
                <w:sz w:val="20"/>
                <w:szCs w:val="20"/>
              </w:rPr>
            </w:pPr>
          </w:p>
        </w:tc>
      </w:tr>
      <w:tr w:rsidR="00CB07C4" w:rsidRPr="00CA6CEA" w14:paraId="01B3B659" w14:textId="77777777" w:rsidTr="00CA6CEA">
        <w:tc>
          <w:tcPr>
            <w:tcW w:w="361" w:type="pct"/>
            <w:shd w:val="clear" w:color="auto" w:fill="auto"/>
            <w:tcMar>
              <w:top w:w="0" w:type="dxa"/>
              <w:bottom w:w="0" w:type="dxa"/>
            </w:tcMar>
            <w:vAlign w:val="center"/>
          </w:tcPr>
          <w:p w14:paraId="5CEA5BAA"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w:t>
            </w:r>
          </w:p>
        </w:tc>
        <w:tc>
          <w:tcPr>
            <w:tcW w:w="2660" w:type="pct"/>
            <w:shd w:val="clear" w:color="auto" w:fill="auto"/>
            <w:tcMar>
              <w:top w:w="0" w:type="dxa"/>
              <w:bottom w:w="0" w:type="dxa"/>
            </w:tcMar>
            <w:vAlign w:val="center"/>
          </w:tcPr>
          <w:p w14:paraId="25CB690B"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Commercial electricity output (kWh)</w:t>
            </w:r>
          </w:p>
        </w:tc>
        <w:tc>
          <w:tcPr>
            <w:tcW w:w="800" w:type="pct"/>
            <w:shd w:val="clear" w:color="auto" w:fill="auto"/>
            <w:tcMar>
              <w:top w:w="0" w:type="dxa"/>
              <w:bottom w:w="0" w:type="dxa"/>
            </w:tcMar>
            <w:vAlign w:val="center"/>
          </w:tcPr>
          <w:p w14:paraId="07898E2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37,945,000</w:t>
            </w:r>
          </w:p>
        </w:tc>
        <w:tc>
          <w:tcPr>
            <w:tcW w:w="728" w:type="pct"/>
            <w:shd w:val="clear" w:color="auto" w:fill="auto"/>
            <w:tcMar>
              <w:top w:w="0" w:type="dxa"/>
              <w:bottom w:w="0" w:type="dxa"/>
            </w:tcMar>
            <w:vAlign w:val="center"/>
          </w:tcPr>
          <w:p w14:paraId="431E7E9A"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45,132,647</w:t>
            </w:r>
          </w:p>
        </w:tc>
        <w:tc>
          <w:tcPr>
            <w:tcW w:w="451" w:type="pct"/>
            <w:shd w:val="clear" w:color="auto" w:fill="auto"/>
            <w:tcMar>
              <w:top w:w="0" w:type="dxa"/>
              <w:bottom w:w="0" w:type="dxa"/>
            </w:tcMar>
            <w:vAlign w:val="center"/>
          </w:tcPr>
          <w:p w14:paraId="03EBA208"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119</w:t>
            </w:r>
          </w:p>
        </w:tc>
      </w:tr>
      <w:tr w:rsidR="00CB07C4" w:rsidRPr="00CA6CEA" w14:paraId="75420B5D" w14:textId="77777777" w:rsidTr="00CA6CEA">
        <w:tc>
          <w:tcPr>
            <w:tcW w:w="361" w:type="pct"/>
            <w:shd w:val="clear" w:color="auto" w:fill="auto"/>
            <w:tcMar>
              <w:top w:w="0" w:type="dxa"/>
              <w:bottom w:w="0" w:type="dxa"/>
            </w:tcMar>
            <w:vAlign w:val="center"/>
          </w:tcPr>
          <w:p w14:paraId="6667129A"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w:t>
            </w:r>
          </w:p>
        </w:tc>
        <w:tc>
          <w:tcPr>
            <w:tcW w:w="2660" w:type="pct"/>
            <w:shd w:val="clear" w:color="auto" w:fill="auto"/>
            <w:tcMar>
              <w:top w:w="0" w:type="dxa"/>
              <w:bottom w:w="0" w:type="dxa"/>
            </w:tcMar>
            <w:vAlign w:val="center"/>
          </w:tcPr>
          <w:p w14:paraId="1B41867A"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Total value of production and business</w:t>
            </w:r>
          </w:p>
        </w:tc>
        <w:tc>
          <w:tcPr>
            <w:tcW w:w="800" w:type="pct"/>
            <w:shd w:val="clear" w:color="auto" w:fill="auto"/>
            <w:tcMar>
              <w:top w:w="0" w:type="dxa"/>
              <w:bottom w:w="0" w:type="dxa"/>
            </w:tcMar>
            <w:vAlign w:val="center"/>
          </w:tcPr>
          <w:p w14:paraId="3BD0A959"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54,366,595</w:t>
            </w:r>
          </w:p>
        </w:tc>
        <w:tc>
          <w:tcPr>
            <w:tcW w:w="728" w:type="pct"/>
            <w:shd w:val="clear" w:color="auto" w:fill="auto"/>
            <w:tcMar>
              <w:top w:w="0" w:type="dxa"/>
              <w:bottom w:w="0" w:type="dxa"/>
            </w:tcMar>
            <w:vAlign w:val="center"/>
          </w:tcPr>
          <w:p w14:paraId="4EFD898E"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56,630,647</w:t>
            </w:r>
          </w:p>
        </w:tc>
        <w:tc>
          <w:tcPr>
            <w:tcW w:w="451" w:type="pct"/>
            <w:shd w:val="clear" w:color="auto" w:fill="auto"/>
            <w:tcMar>
              <w:top w:w="0" w:type="dxa"/>
              <w:bottom w:w="0" w:type="dxa"/>
            </w:tcMar>
            <w:vAlign w:val="center"/>
          </w:tcPr>
          <w:p w14:paraId="6F92FEB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104</w:t>
            </w:r>
          </w:p>
        </w:tc>
      </w:tr>
      <w:tr w:rsidR="00CB07C4" w:rsidRPr="00CA6CEA" w14:paraId="459455F0" w14:textId="77777777" w:rsidTr="00CA6CEA">
        <w:tc>
          <w:tcPr>
            <w:tcW w:w="361" w:type="pct"/>
            <w:shd w:val="clear" w:color="auto" w:fill="auto"/>
            <w:tcMar>
              <w:top w:w="0" w:type="dxa"/>
              <w:bottom w:w="0" w:type="dxa"/>
            </w:tcMar>
            <w:vAlign w:val="center"/>
          </w:tcPr>
          <w:p w14:paraId="01BAF62F"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3</w:t>
            </w:r>
          </w:p>
        </w:tc>
        <w:tc>
          <w:tcPr>
            <w:tcW w:w="2660" w:type="pct"/>
            <w:shd w:val="clear" w:color="auto" w:fill="auto"/>
            <w:tcMar>
              <w:top w:w="0" w:type="dxa"/>
              <w:bottom w:w="0" w:type="dxa"/>
            </w:tcMar>
            <w:vAlign w:val="center"/>
          </w:tcPr>
          <w:p w14:paraId="7C83253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Revenue</w:t>
            </w:r>
          </w:p>
        </w:tc>
        <w:tc>
          <w:tcPr>
            <w:tcW w:w="800" w:type="pct"/>
            <w:shd w:val="clear" w:color="auto" w:fill="auto"/>
            <w:tcMar>
              <w:top w:w="0" w:type="dxa"/>
              <w:bottom w:w="0" w:type="dxa"/>
            </w:tcMar>
            <w:vAlign w:val="center"/>
          </w:tcPr>
          <w:p w14:paraId="4E388FE5"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49,038,629</w:t>
            </w:r>
          </w:p>
        </w:tc>
        <w:tc>
          <w:tcPr>
            <w:tcW w:w="728" w:type="pct"/>
            <w:shd w:val="clear" w:color="auto" w:fill="auto"/>
            <w:tcMar>
              <w:top w:w="0" w:type="dxa"/>
              <w:bottom w:w="0" w:type="dxa"/>
            </w:tcMar>
            <w:vAlign w:val="center"/>
          </w:tcPr>
          <w:p w14:paraId="6AF522F9"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52,646,901</w:t>
            </w:r>
          </w:p>
        </w:tc>
        <w:tc>
          <w:tcPr>
            <w:tcW w:w="451" w:type="pct"/>
            <w:shd w:val="clear" w:color="auto" w:fill="auto"/>
            <w:tcMar>
              <w:top w:w="0" w:type="dxa"/>
              <w:bottom w:w="0" w:type="dxa"/>
            </w:tcMar>
            <w:vAlign w:val="center"/>
          </w:tcPr>
          <w:p w14:paraId="594BA20B"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107</w:t>
            </w:r>
          </w:p>
        </w:tc>
      </w:tr>
      <w:tr w:rsidR="00CB07C4" w:rsidRPr="00CA6CEA" w14:paraId="3444B480" w14:textId="77777777" w:rsidTr="00CA6CEA">
        <w:tc>
          <w:tcPr>
            <w:tcW w:w="361" w:type="pct"/>
            <w:shd w:val="clear" w:color="auto" w:fill="auto"/>
            <w:tcMar>
              <w:top w:w="0" w:type="dxa"/>
              <w:bottom w:w="0" w:type="dxa"/>
            </w:tcMar>
            <w:vAlign w:val="center"/>
          </w:tcPr>
          <w:p w14:paraId="66B1BF2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w:t>
            </w:r>
          </w:p>
        </w:tc>
        <w:tc>
          <w:tcPr>
            <w:tcW w:w="2660" w:type="pct"/>
            <w:shd w:val="clear" w:color="auto" w:fill="auto"/>
            <w:tcMar>
              <w:top w:w="0" w:type="dxa"/>
              <w:bottom w:w="0" w:type="dxa"/>
            </w:tcMar>
            <w:vAlign w:val="center"/>
          </w:tcPr>
          <w:p w14:paraId="4BFE9195"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Revenue from selling electricity</w:t>
            </w:r>
          </w:p>
        </w:tc>
        <w:tc>
          <w:tcPr>
            <w:tcW w:w="800" w:type="pct"/>
            <w:shd w:val="clear" w:color="auto" w:fill="auto"/>
            <w:tcMar>
              <w:top w:w="0" w:type="dxa"/>
              <w:bottom w:w="0" w:type="dxa"/>
            </w:tcMar>
            <w:vAlign w:val="center"/>
          </w:tcPr>
          <w:p w14:paraId="0023E23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47,971,027</w:t>
            </w:r>
          </w:p>
        </w:tc>
        <w:tc>
          <w:tcPr>
            <w:tcW w:w="728" w:type="pct"/>
            <w:shd w:val="clear" w:color="auto" w:fill="auto"/>
            <w:tcMar>
              <w:top w:w="0" w:type="dxa"/>
              <w:bottom w:w="0" w:type="dxa"/>
            </w:tcMar>
            <w:vAlign w:val="center"/>
          </w:tcPr>
          <w:p w14:paraId="7BAB0138"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50,877,880</w:t>
            </w:r>
          </w:p>
        </w:tc>
        <w:tc>
          <w:tcPr>
            <w:tcW w:w="451" w:type="pct"/>
            <w:shd w:val="clear" w:color="auto" w:fill="auto"/>
            <w:tcMar>
              <w:top w:w="0" w:type="dxa"/>
              <w:bottom w:w="0" w:type="dxa"/>
            </w:tcMar>
            <w:vAlign w:val="center"/>
          </w:tcPr>
          <w:p w14:paraId="6A5AB0FC"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107</w:t>
            </w:r>
          </w:p>
        </w:tc>
      </w:tr>
      <w:tr w:rsidR="00CB07C4" w:rsidRPr="00CA6CEA" w14:paraId="4A24178A" w14:textId="77777777" w:rsidTr="00CA6CEA">
        <w:tc>
          <w:tcPr>
            <w:tcW w:w="361" w:type="pct"/>
            <w:shd w:val="clear" w:color="auto" w:fill="auto"/>
            <w:tcMar>
              <w:top w:w="0" w:type="dxa"/>
              <w:bottom w:w="0" w:type="dxa"/>
            </w:tcMar>
            <w:vAlign w:val="center"/>
          </w:tcPr>
          <w:p w14:paraId="4ACD5D2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w:t>
            </w:r>
          </w:p>
        </w:tc>
        <w:tc>
          <w:tcPr>
            <w:tcW w:w="2660" w:type="pct"/>
            <w:shd w:val="clear" w:color="auto" w:fill="auto"/>
            <w:tcMar>
              <w:top w:w="0" w:type="dxa"/>
              <w:bottom w:w="0" w:type="dxa"/>
            </w:tcMar>
            <w:vAlign w:val="center"/>
          </w:tcPr>
          <w:p w14:paraId="437A9188"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Other revenue, financial contract revenue, other income</w:t>
            </w:r>
          </w:p>
        </w:tc>
        <w:tc>
          <w:tcPr>
            <w:tcW w:w="800" w:type="pct"/>
            <w:shd w:val="clear" w:color="auto" w:fill="auto"/>
            <w:tcMar>
              <w:top w:w="0" w:type="dxa"/>
              <w:bottom w:w="0" w:type="dxa"/>
            </w:tcMar>
            <w:vAlign w:val="center"/>
          </w:tcPr>
          <w:p w14:paraId="502DE06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1,067,602</w:t>
            </w:r>
          </w:p>
        </w:tc>
        <w:tc>
          <w:tcPr>
            <w:tcW w:w="728" w:type="pct"/>
            <w:shd w:val="clear" w:color="auto" w:fill="auto"/>
            <w:tcMar>
              <w:top w:w="0" w:type="dxa"/>
              <w:bottom w:w="0" w:type="dxa"/>
            </w:tcMar>
            <w:vAlign w:val="center"/>
          </w:tcPr>
          <w:p w14:paraId="0B05B824"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1,769,021</w:t>
            </w:r>
          </w:p>
        </w:tc>
        <w:tc>
          <w:tcPr>
            <w:tcW w:w="451" w:type="pct"/>
            <w:shd w:val="clear" w:color="auto" w:fill="auto"/>
            <w:tcMar>
              <w:top w:w="0" w:type="dxa"/>
              <w:bottom w:w="0" w:type="dxa"/>
            </w:tcMar>
            <w:vAlign w:val="center"/>
          </w:tcPr>
          <w:p w14:paraId="7575FAD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166</w:t>
            </w:r>
          </w:p>
        </w:tc>
      </w:tr>
      <w:tr w:rsidR="00CB07C4" w:rsidRPr="00CA6CEA" w14:paraId="48E8F251" w14:textId="77777777" w:rsidTr="00CA6CEA">
        <w:tc>
          <w:tcPr>
            <w:tcW w:w="361" w:type="pct"/>
            <w:shd w:val="clear" w:color="auto" w:fill="auto"/>
            <w:tcMar>
              <w:top w:w="0" w:type="dxa"/>
              <w:bottom w:w="0" w:type="dxa"/>
            </w:tcMar>
            <w:vAlign w:val="center"/>
          </w:tcPr>
          <w:p w14:paraId="65A7ED76"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4</w:t>
            </w:r>
          </w:p>
        </w:tc>
        <w:tc>
          <w:tcPr>
            <w:tcW w:w="2660" w:type="pct"/>
            <w:shd w:val="clear" w:color="auto" w:fill="auto"/>
            <w:tcMar>
              <w:top w:w="0" w:type="dxa"/>
              <w:bottom w:w="0" w:type="dxa"/>
            </w:tcMar>
            <w:vAlign w:val="center"/>
          </w:tcPr>
          <w:p w14:paraId="764DAA05"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Profit before tax</w:t>
            </w:r>
          </w:p>
        </w:tc>
        <w:tc>
          <w:tcPr>
            <w:tcW w:w="800" w:type="pct"/>
            <w:shd w:val="clear" w:color="auto" w:fill="auto"/>
            <w:tcMar>
              <w:top w:w="0" w:type="dxa"/>
              <w:bottom w:w="0" w:type="dxa"/>
            </w:tcMar>
            <w:vAlign w:val="center"/>
          </w:tcPr>
          <w:p w14:paraId="1C80801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22,897,476</w:t>
            </w:r>
          </w:p>
        </w:tc>
        <w:tc>
          <w:tcPr>
            <w:tcW w:w="728" w:type="pct"/>
            <w:shd w:val="clear" w:color="auto" w:fill="auto"/>
            <w:tcMar>
              <w:top w:w="0" w:type="dxa"/>
              <w:bottom w:w="0" w:type="dxa"/>
            </w:tcMar>
            <w:vAlign w:val="center"/>
          </w:tcPr>
          <w:p w14:paraId="08BE0EEE"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25,047,638</w:t>
            </w:r>
          </w:p>
        </w:tc>
        <w:tc>
          <w:tcPr>
            <w:tcW w:w="451" w:type="pct"/>
            <w:shd w:val="clear" w:color="auto" w:fill="auto"/>
            <w:tcMar>
              <w:top w:w="0" w:type="dxa"/>
              <w:bottom w:w="0" w:type="dxa"/>
            </w:tcMar>
            <w:vAlign w:val="center"/>
          </w:tcPr>
          <w:p w14:paraId="7E4F7282"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109</w:t>
            </w:r>
          </w:p>
        </w:tc>
      </w:tr>
      <w:tr w:rsidR="00CB07C4" w:rsidRPr="00CA6CEA" w14:paraId="47BE975A" w14:textId="77777777" w:rsidTr="00CA6CEA">
        <w:tc>
          <w:tcPr>
            <w:tcW w:w="361" w:type="pct"/>
            <w:shd w:val="clear" w:color="auto" w:fill="auto"/>
            <w:tcMar>
              <w:top w:w="0" w:type="dxa"/>
              <w:bottom w:w="0" w:type="dxa"/>
            </w:tcMar>
            <w:vAlign w:val="center"/>
          </w:tcPr>
          <w:p w14:paraId="2BA4E87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5</w:t>
            </w:r>
          </w:p>
        </w:tc>
        <w:tc>
          <w:tcPr>
            <w:tcW w:w="2660" w:type="pct"/>
            <w:shd w:val="clear" w:color="auto" w:fill="auto"/>
            <w:tcMar>
              <w:top w:w="0" w:type="dxa"/>
              <w:bottom w:w="0" w:type="dxa"/>
            </w:tcMar>
            <w:vAlign w:val="center"/>
          </w:tcPr>
          <w:p w14:paraId="7076EB4E"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Profit after tax</w:t>
            </w:r>
          </w:p>
        </w:tc>
        <w:tc>
          <w:tcPr>
            <w:tcW w:w="800" w:type="pct"/>
            <w:shd w:val="clear" w:color="auto" w:fill="auto"/>
            <w:tcMar>
              <w:top w:w="0" w:type="dxa"/>
              <w:bottom w:w="0" w:type="dxa"/>
            </w:tcMar>
            <w:vAlign w:val="center"/>
          </w:tcPr>
          <w:p w14:paraId="1D2DF384"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21,752,602</w:t>
            </w:r>
          </w:p>
        </w:tc>
        <w:tc>
          <w:tcPr>
            <w:tcW w:w="728" w:type="pct"/>
            <w:shd w:val="clear" w:color="auto" w:fill="auto"/>
            <w:tcMar>
              <w:top w:w="0" w:type="dxa"/>
              <w:bottom w:w="0" w:type="dxa"/>
            </w:tcMar>
            <w:vAlign w:val="center"/>
          </w:tcPr>
          <w:p w14:paraId="06E3E340"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23,771,971</w:t>
            </w:r>
          </w:p>
        </w:tc>
        <w:tc>
          <w:tcPr>
            <w:tcW w:w="451" w:type="pct"/>
            <w:shd w:val="clear" w:color="auto" w:fill="auto"/>
            <w:tcMar>
              <w:top w:w="0" w:type="dxa"/>
              <w:bottom w:w="0" w:type="dxa"/>
            </w:tcMar>
            <w:vAlign w:val="center"/>
          </w:tcPr>
          <w:p w14:paraId="6F91CEFC"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109</w:t>
            </w:r>
          </w:p>
        </w:tc>
      </w:tr>
      <w:tr w:rsidR="00CB07C4" w:rsidRPr="00CA6CEA" w14:paraId="5782EA5D" w14:textId="77777777" w:rsidTr="00CA6CEA">
        <w:tc>
          <w:tcPr>
            <w:tcW w:w="361" w:type="pct"/>
            <w:shd w:val="clear" w:color="auto" w:fill="auto"/>
            <w:tcMar>
              <w:top w:w="0" w:type="dxa"/>
              <w:bottom w:w="0" w:type="dxa"/>
            </w:tcMar>
            <w:vAlign w:val="center"/>
          </w:tcPr>
          <w:p w14:paraId="75C130A2"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B</w:t>
            </w:r>
          </w:p>
        </w:tc>
        <w:tc>
          <w:tcPr>
            <w:tcW w:w="2660" w:type="pct"/>
            <w:shd w:val="clear" w:color="auto" w:fill="auto"/>
            <w:tcMar>
              <w:top w:w="0" w:type="dxa"/>
              <w:bottom w:w="0" w:type="dxa"/>
            </w:tcMar>
            <w:vAlign w:val="center"/>
          </w:tcPr>
          <w:p w14:paraId="0F73A7FF"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Investment</w:t>
            </w:r>
          </w:p>
        </w:tc>
        <w:tc>
          <w:tcPr>
            <w:tcW w:w="800" w:type="pct"/>
            <w:shd w:val="clear" w:color="auto" w:fill="auto"/>
            <w:tcMar>
              <w:top w:w="0" w:type="dxa"/>
              <w:bottom w:w="0" w:type="dxa"/>
            </w:tcMar>
            <w:vAlign w:val="center"/>
          </w:tcPr>
          <w:p w14:paraId="63009FE6"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2,191,537</w:t>
            </w:r>
          </w:p>
        </w:tc>
        <w:tc>
          <w:tcPr>
            <w:tcW w:w="728" w:type="pct"/>
            <w:shd w:val="clear" w:color="auto" w:fill="auto"/>
            <w:tcMar>
              <w:top w:w="0" w:type="dxa"/>
              <w:bottom w:w="0" w:type="dxa"/>
            </w:tcMar>
            <w:vAlign w:val="center"/>
          </w:tcPr>
          <w:p w14:paraId="2A033896"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2,280,311</w:t>
            </w:r>
          </w:p>
        </w:tc>
        <w:tc>
          <w:tcPr>
            <w:tcW w:w="451" w:type="pct"/>
            <w:shd w:val="clear" w:color="auto" w:fill="auto"/>
            <w:tcMar>
              <w:top w:w="0" w:type="dxa"/>
              <w:bottom w:w="0" w:type="dxa"/>
            </w:tcMar>
            <w:vAlign w:val="center"/>
          </w:tcPr>
          <w:p w14:paraId="589E99E6"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104</w:t>
            </w:r>
          </w:p>
        </w:tc>
      </w:tr>
      <w:tr w:rsidR="00CB07C4" w:rsidRPr="00CA6CEA" w14:paraId="3C92604C" w14:textId="77777777" w:rsidTr="00CA6CEA">
        <w:tc>
          <w:tcPr>
            <w:tcW w:w="361" w:type="pct"/>
            <w:shd w:val="clear" w:color="auto" w:fill="auto"/>
            <w:tcMar>
              <w:top w:w="0" w:type="dxa"/>
              <w:bottom w:w="0" w:type="dxa"/>
            </w:tcMar>
            <w:vAlign w:val="center"/>
          </w:tcPr>
          <w:p w14:paraId="5465DB82" w14:textId="77777777" w:rsidR="00CB07C4" w:rsidRPr="00CA6CEA" w:rsidRDefault="00CB07C4" w:rsidP="00CA6CEA">
            <w:pPr>
              <w:spacing w:after="120" w:line="360" w:lineRule="auto"/>
              <w:rPr>
                <w:rFonts w:ascii="Arial" w:eastAsia="Arial" w:hAnsi="Arial" w:cs="Arial"/>
                <w:color w:val="010000"/>
                <w:sz w:val="20"/>
                <w:szCs w:val="20"/>
              </w:rPr>
            </w:pPr>
          </w:p>
        </w:tc>
        <w:tc>
          <w:tcPr>
            <w:tcW w:w="2660" w:type="pct"/>
            <w:shd w:val="clear" w:color="auto" w:fill="auto"/>
            <w:tcMar>
              <w:top w:w="0" w:type="dxa"/>
              <w:bottom w:w="0" w:type="dxa"/>
            </w:tcMar>
            <w:vAlign w:val="center"/>
          </w:tcPr>
          <w:p w14:paraId="62A2EF61" w14:textId="77777777" w:rsidR="00CB07C4" w:rsidRPr="00CA6CEA" w:rsidRDefault="00CB07C4" w:rsidP="00CA6CEA">
            <w:pPr>
              <w:spacing w:after="120" w:line="360" w:lineRule="auto"/>
              <w:rPr>
                <w:rFonts w:ascii="Arial" w:eastAsia="Arial" w:hAnsi="Arial" w:cs="Arial"/>
                <w:color w:val="010000"/>
                <w:sz w:val="20"/>
                <w:szCs w:val="20"/>
              </w:rPr>
            </w:pPr>
          </w:p>
        </w:tc>
        <w:tc>
          <w:tcPr>
            <w:tcW w:w="800" w:type="pct"/>
            <w:shd w:val="clear" w:color="auto" w:fill="auto"/>
            <w:tcMar>
              <w:top w:w="0" w:type="dxa"/>
              <w:bottom w:w="0" w:type="dxa"/>
            </w:tcMar>
            <w:vAlign w:val="center"/>
          </w:tcPr>
          <w:p w14:paraId="1FC63E52" w14:textId="77777777" w:rsidR="00CB07C4" w:rsidRPr="00CA6CEA" w:rsidRDefault="00CB07C4" w:rsidP="00CA6CEA">
            <w:pPr>
              <w:spacing w:after="120" w:line="360" w:lineRule="auto"/>
              <w:rPr>
                <w:rFonts w:ascii="Arial" w:eastAsia="Arial" w:hAnsi="Arial" w:cs="Arial"/>
                <w:color w:val="010000"/>
                <w:sz w:val="20"/>
                <w:szCs w:val="20"/>
              </w:rPr>
            </w:pPr>
          </w:p>
        </w:tc>
        <w:tc>
          <w:tcPr>
            <w:tcW w:w="728" w:type="pct"/>
            <w:shd w:val="clear" w:color="auto" w:fill="auto"/>
            <w:tcMar>
              <w:top w:w="0" w:type="dxa"/>
              <w:bottom w:w="0" w:type="dxa"/>
            </w:tcMar>
            <w:vAlign w:val="center"/>
          </w:tcPr>
          <w:p w14:paraId="1351A0B7" w14:textId="77777777" w:rsidR="00CB07C4" w:rsidRPr="00CA6CEA" w:rsidRDefault="00CB07C4" w:rsidP="00CA6CEA">
            <w:pPr>
              <w:spacing w:after="120" w:line="360" w:lineRule="auto"/>
              <w:rPr>
                <w:rFonts w:ascii="Arial" w:eastAsia="Arial" w:hAnsi="Arial" w:cs="Arial"/>
                <w:color w:val="010000"/>
                <w:sz w:val="20"/>
                <w:szCs w:val="20"/>
              </w:rPr>
            </w:pPr>
          </w:p>
        </w:tc>
        <w:tc>
          <w:tcPr>
            <w:tcW w:w="451" w:type="pct"/>
            <w:shd w:val="clear" w:color="auto" w:fill="auto"/>
            <w:tcMar>
              <w:top w:w="0" w:type="dxa"/>
              <w:bottom w:w="0" w:type="dxa"/>
            </w:tcMar>
            <w:vAlign w:val="center"/>
          </w:tcPr>
          <w:p w14:paraId="3D8F468D" w14:textId="77777777" w:rsidR="00CB07C4" w:rsidRPr="00CA6CEA" w:rsidRDefault="00CB07C4" w:rsidP="00CA6CEA">
            <w:pPr>
              <w:spacing w:after="120" w:line="360" w:lineRule="auto"/>
              <w:rPr>
                <w:rFonts w:ascii="Arial" w:eastAsia="Arial" w:hAnsi="Arial" w:cs="Arial"/>
                <w:color w:val="010000"/>
                <w:sz w:val="20"/>
                <w:szCs w:val="20"/>
              </w:rPr>
            </w:pPr>
          </w:p>
        </w:tc>
      </w:tr>
    </w:tbl>
    <w:p w14:paraId="56850B9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b. Production, business and investment plan in 2024:</w:t>
      </w:r>
    </w:p>
    <w:p w14:paraId="491B753A"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Unit: Thousand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4"/>
        <w:gridCol w:w="4894"/>
        <w:gridCol w:w="3509"/>
      </w:tblGrid>
      <w:tr w:rsidR="00CB07C4" w:rsidRPr="00CA6CEA" w14:paraId="205078BD" w14:textId="77777777" w:rsidTr="00CA6CEA">
        <w:tc>
          <w:tcPr>
            <w:tcW w:w="340" w:type="pct"/>
            <w:shd w:val="clear" w:color="auto" w:fill="auto"/>
            <w:tcMar>
              <w:top w:w="0" w:type="dxa"/>
              <w:bottom w:w="0" w:type="dxa"/>
            </w:tcMar>
            <w:vAlign w:val="center"/>
          </w:tcPr>
          <w:p w14:paraId="3D6D2130"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No.</w:t>
            </w:r>
          </w:p>
        </w:tc>
        <w:tc>
          <w:tcPr>
            <w:tcW w:w="2714" w:type="pct"/>
            <w:shd w:val="clear" w:color="auto" w:fill="auto"/>
            <w:tcMar>
              <w:top w:w="0" w:type="dxa"/>
              <w:bottom w:w="0" w:type="dxa"/>
            </w:tcMar>
            <w:vAlign w:val="center"/>
          </w:tcPr>
          <w:p w14:paraId="1E9F169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Target</w:t>
            </w:r>
          </w:p>
        </w:tc>
        <w:tc>
          <w:tcPr>
            <w:tcW w:w="1946" w:type="pct"/>
            <w:shd w:val="clear" w:color="auto" w:fill="auto"/>
            <w:tcMar>
              <w:top w:w="0" w:type="dxa"/>
              <w:bottom w:w="0" w:type="dxa"/>
            </w:tcMar>
            <w:vAlign w:val="center"/>
          </w:tcPr>
          <w:p w14:paraId="583264C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2024 Plan</w:t>
            </w:r>
          </w:p>
        </w:tc>
      </w:tr>
      <w:tr w:rsidR="00CB07C4" w:rsidRPr="00CA6CEA" w14:paraId="1572E4AF" w14:textId="77777777" w:rsidTr="00CA6CEA">
        <w:tc>
          <w:tcPr>
            <w:tcW w:w="340" w:type="pct"/>
            <w:shd w:val="clear" w:color="auto" w:fill="auto"/>
            <w:tcMar>
              <w:top w:w="0" w:type="dxa"/>
              <w:bottom w:w="0" w:type="dxa"/>
            </w:tcMar>
            <w:vAlign w:val="center"/>
          </w:tcPr>
          <w:p w14:paraId="4A34B3B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A</w:t>
            </w:r>
          </w:p>
        </w:tc>
        <w:tc>
          <w:tcPr>
            <w:tcW w:w="2714" w:type="pct"/>
            <w:shd w:val="clear" w:color="auto" w:fill="auto"/>
            <w:tcMar>
              <w:top w:w="0" w:type="dxa"/>
              <w:bottom w:w="0" w:type="dxa"/>
            </w:tcMar>
            <w:vAlign w:val="center"/>
          </w:tcPr>
          <w:p w14:paraId="62DF5124"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Production and business plan</w:t>
            </w:r>
          </w:p>
        </w:tc>
        <w:tc>
          <w:tcPr>
            <w:tcW w:w="1946" w:type="pct"/>
            <w:shd w:val="clear" w:color="auto" w:fill="auto"/>
            <w:tcMar>
              <w:top w:w="0" w:type="dxa"/>
              <w:bottom w:w="0" w:type="dxa"/>
            </w:tcMar>
            <w:vAlign w:val="center"/>
          </w:tcPr>
          <w:p w14:paraId="2C38ADDE" w14:textId="77777777" w:rsidR="00CB07C4" w:rsidRPr="00CA6CEA" w:rsidRDefault="00CB07C4" w:rsidP="00CA6CEA">
            <w:pPr>
              <w:spacing w:after="120" w:line="360" w:lineRule="auto"/>
              <w:rPr>
                <w:rFonts w:ascii="Arial" w:eastAsia="Arial" w:hAnsi="Arial" w:cs="Arial"/>
                <w:color w:val="010000"/>
                <w:sz w:val="20"/>
                <w:szCs w:val="20"/>
              </w:rPr>
            </w:pPr>
          </w:p>
        </w:tc>
      </w:tr>
      <w:tr w:rsidR="00CB07C4" w:rsidRPr="00CA6CEA" w14:paraId="4B363CDF" w14:textId="77777777" w:rsidTr="00CA6CEA">
        <w:tc>
          <w:tcPr>
            <w:tcW w:w="340" w:type="pct"/>
            <w:shd w:val="clear" w:color="auto" w:fill="auto"/>
            <w:tcMar>
              <w:top w:w="0" w:type="dxa"/>
              <w:bottom w:w="0" w:type="dxa"/>
            </w:tcMar>
            <w:vAlign w:val="center"/>
          </w:tcPr>
          <w:p w14:paraId="73BBC88A"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w:t>
            </w:r>
          </w:p>
        </w:tc>
        <w:tc>
          <w:tcPr>
            <w:tcW w:w="2714" w:type="pct"/>
            <w:shd w:val="clear" w:color="auto" w:fill="auto"/>
            <w:tcMar>
              <w:top w:w="0" w:type="dxa"/>
              <w:bottom w:w="0" w:type="dxa"/>
            </w:tcMar>
            <w:vAlign w:val="center"/>
          </w:tcPr>
          <w:p w14:paraId="0609547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Commercial electricity output (kWh)</w:t>
            </w:r>
          </w:p>
        </w:tc>
        <w:tc>
          <w:tcPr>
            <w:tcW w:w="1946" w:type="pct"/>
            <w:shd w:val="clear" w:color="auto" w:fill="auto"/>
            <w:tcMar>
              <w:top w:w="0" w:type="dxa"/>
              <w:bottom w:w="0" w:type="dxa"/>
            </w:tcMar>
            <w:vAlign w:val="center"/>
          </w:tcPr>
          <w:p w14:paraId="2EFA164C"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37,930,000</w:t>
            </w:r>
          </w:p>
        </w:tc>
      </w:tr>
      <w:tr w:rsidR="00CB07C4" w:rsidRPr="00CA6CEA" w14:paraId="47561898" w14:textId="77777777" w:rsidTr="00CA6CEA">
        <w:tc>
          <w:tcPr>
            <w:tcW w:w="340" w:type="pct"/>
            <w:shd w:val="clear" w:color="auto" w:fill="auto"/>
            <w:tcMar>
              <w:top w:w="0" w:type="dxa"/>
              <w:bottom w:w="0" w:type="dxa"/>
            </w:tcMar>
            <w:vAlign w:val="center"/>
          </w:tcPr>
          <w:p w14:paraId="7ACA19F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w:t>
            </w:r>
          </w:p>
        </w:tc>
        <w:tc>
          <w:tcPr>
            <w:tcW w:w="2714" w:type="pct"/>
            <w:shd w:val="clear" w:color="auto" w:fill="auto"/>
            <w:tcMar>
              <w:top w:w="0" w:type="dxa"/>
              <w:bottom w:w="0" w:type="dxa"/>
            </w:tcMar>
            <w:vAlign w:val="center"/>
          </w:tcPr>
          <w:p w14:paraId="3653FD1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Total value of production and business</w:t>
            </w:r>
          </w:p>
        </w:tc>
        <w:tc>
          <w:tcPr>
            <w:tcW w:w="1946" w:type="pct"/>
            <w:shd w:val="clear" w:color="auto" w:fill="auto"/>
            <w:tcMar>
              <w:top w:w="0" w:type="dxa"/>
              <w:bottom w:w="0" w:type="dxa"/>
            </w:tcMar>
            <w:vAlign w:val="center"/>
          </w:tcPr>
          <w:p w14:paraId="4F2130B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52,847,779</w:t>
            </w:r>
          </w:p>
        </w:tc>
      </w:tr>
      <w:tr w:rsidR="00CB07C4" w:rsidRPr="00CA6CEA" w14:paraId="642F3DE8" w14:textId="77777777" w:rsidTr="00CA6CEA">
        <w:tc>
          <w:tcPr>
            <w:tcW w:w="340" w:type="pct"/>
            <w:shd w:val="clear" w:color="auto" w:fill="auto"/>
            <w:tcMar>
              <w:top w:w="0" w:type="dxa"/>
              <w:bottom w:w="0" w:type="dxa"/>
            </w:tcMar>
            <w:vAlign w:val="center"/>
          </w:tcPr>
          <w:p w14:paraId="4CFA69B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3</w:t>
            </w:r>
          </w:p>
        </w:tc>
        <w:tc>
          <w:tcPr>
            <w:tcW w:w="2714" w:type="pct"/>
            <w:shd w:val="clear" w:color="auto" w:fill="auto"/>
            <w:tcMar>
              <w:top w:w="0" w:type="dxa"/>
              <w:bottom w:w="0" w:type="dxa"/>
            </w:tcMar>
            <w:vAlign w:val="center"/>
          </w:tcPr>
          <w:p w14:paraId="3DB58969"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Revenue (excluding financial revenue)</w:t>
            </w:r>
          </w:p>
        </w:tc>
        <w:tc>
          <w:tcPr>
            <w:tcW w:w="1946" w:type="pct"/>
            <w:shd w:val="clear" w:color="auto" w:fill="auto"/>
            <w:tcMar>
              <w:top w:w="0" w:type="dxa"/>
              <w:bottom w:w="0" w:type="dxa"/>
            </w:tcMar>
            <w:vAlign w:val="center"/>
          </w:tcPr>
          <w:p w14:paraId="78656060"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 xml:space="preserve">47,125,010 </w:t>
            </w:r>
          </w:p>
        </w:tc>
      </w:tr>
      <w:tr w:rsidR="00CB07C4" w:rsidRPr="00CA6CEA" w14:paraId="78A5B1F8" w14:textId="77777777" w:rsidTr="00CA6CEA">
        <w:tc>
          <w:tcPr>
            <w:tcW w:w="340" w:type="pct"/>
            <w:shd w:val="clear" w:color="auto" w:fill="auto"/>
            <w:tcMar>
              <w:top w:w="0" w:type="dxa"/>
              <w:bottom w:w="0" w:type="dxa"/>
            </w:tcMar>
            <w:vAlign w:val="center"/>
          </w:tcPr>
          <w:p w14:paraId="0366D104"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4</w:t>
            </w:r>
          </w:p>
        </w:tc>
        <w:tc>
          <w:tcPr>
            <w:tcW w:w="2714" w:type="pct"/>
            <w:shd w:val="clear" w:color="auto" w:fill="auto"/>
            <w:tcMar>
              <w:top w:w="0" w:type="dxa"/>
              <w:bottom w:w="0" w:type="dxa"/>
            </w:tcMar>
            <w:vAlign w:val="center"/>
          </w:tcPr>
          <w:p w14:paraId="1A6D30D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Profit before tax</w:t>
            </w:r>
          </w:p>
        </w:tc>
        <w:tc>
          <w:tcPr>
            <w:tcW w:w="1946" w:type="pct"/>
            <w:shd w:val="clear" w:color="auto" w:fill="auto"/>
            <w:tcMar>
              <w:top w:w="0" w:type="dxa"/>
              <w:bottom w:w="0" w:type="dxa"/>
            </w:tcMar>
            <w:vAlign w:val="center"/>
          </w:tcPr>
          <w:p w14:paraId="69F860C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19,960,455</w:t>
            </w:r>
          </w:p>
        </w:tc>
      </w:tr>
      <w:tr w:rsidR="00CB07C4" w:rsidRPr="00CA6CEA" w14:paraId="01ACA7B1" w14:textId="77777777" w:rsidTr="00CA6CEA">
        <w:tc>
          <w:tcPr>
            <w:tcW w:w="340" w:type="pct"/>
            <w:shd w:val="clear" w:color="auto" w:fill="auto"/>
            <w:tcMar>
              <w:top w:w="0" w:type="dxa"/>
              <w:bottom w:w="0" w:type="dxa"/>
            </w:tcMar>
            <w:vAlign w:val="center"/>
          </w:tcPr>
          <w:p w14:paraId="07A964B8"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5</w:t>
            </w:r>
          </w:p>
        </w:tc>
        <w:tc>
          <w:tcPr>
            <w:tcW w:w="2714" w:type="pct"/>
            <w:shd w:val="clear" w:color="auto" w:fill="auto"/>
            <w:tcMar>
              <w:top w:w="0" w:type="dxa"/>
              <w:bottom w:w="0" w:type="dxa"/>
            </w:tcMar>
            <w:vAlign w:val="center"/>
          </w:tcPr>
          <w:p w14:paraId="0889906F"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Expected dividend payment rate</w:t>
            </w:r>
          </w:p>
        </w:tc>
        <w:tc>
          <w:tcPr>
            <w:tcW w:w="1946" w:type="pct"/>
            <w:shd w:val="clear" w:color="auto" w:fill="auto"/>
            <w:tcMar>
              <w:top w:w="0" w:type="dxa"/>
              <w:bottom w:w="0" w:type="dxa"/>
            </w:tcMar>
            <w:vAlign w:val="center"/>
          </w:tcPr>
          <w:p w14:paraId="20769E89" w14:textId="713A7501" w:rsidR="00CB07C4" w:rsidRPr="00CA6CEA" w:rsidRDefault="00CA6CEA" w:rsidP="00CA6CEA">
            <w:pPr>
              <w:pBdr>
                <w:top w:val="nil"/>
                <w:left w:val="nil"/>
                <w:bottom w:val="nil"/>
                <w:right w:val="nil"/>
                <w:between w:val="nil"/>
              </w:pBdr>
              <w:tabs>
                <w:tab w:val="left" w:pos="1170"/>
                <w:tab w:val="left" w:pos="1520"/>
              </w:tabs>
              <w:spacing w:after="120" w:line="360" w:lineRule="auto"/>
              <w:rPr>
                <w:rFonts w:ascii="Arial" w:eastAsia="Arial" w:hAnsi="Arial" w:cs="Arial"/>
                <w:color w:val="010000"/>
                <w:sz w:val="20"/>
                <w:szCs w:val="20"/>
              </w:rPr>
            </w:pPr>
            <w:r w:rsidRPr="00CA6CEA">
              <w:rPr>
                <w:rFonts w:ascii="Arial" w:hAnsi="Arial" w:cs="Arial"/>
                <w:color w:val="010000"/>
                <w:sz w:val="20"/>
              </w:rPr>
              <w:t xml:space="preserve"> </w:t>
            </w:r>
            <w:r w:rsidR="002D2BA1" w:rsidRPr="00CA6CEA">
              <w:rPr>
                <w:rFonts w:ascii="Arial" w:hAnsi="Arial" w:cs="Arial"/>
                <w:color w:val="010000"/>
                <w:sz w:val="20"/>
              </w:rPr>
              <w:t xml:space="preserve">20% </w:t>
            </w:r>
          </w:p>
        </w:tc>
      </w:tr>
      <w:tr w:rsidR="00CB07C4" w:rsidRPr="00CA6CEA" w14:paraId="5FFF1E29" w14:textId="77777777" w:rsidTr="00CA6CEA">
        <w:tc>
          <w:tcPr>
            <w:tcW w:w="340" w:type="pct"/>
            <w:shd w:val="clear" w:color="auto" w:fill="auto"/>
            <w:tcMar>
              <w:top w:w="0" w:type="dxa"/>
              <w:bottom w:w="0" w:type="dxa"/>
            </w:tcMar>
            <w:vAlign w:val="center"/>
          </w:tcPr>
          <w:p w14:paraId="57A9F46F"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B</w:t>
            </w:r>
          </w:p>
        </w:tc>
        <w:tc>
          <w:tcPr>
            <w:tcW w:w="2714" w:type="pct"/>
            <w:shd w:val="clear" w:color="auto" w:fill="auto"/>
            <w:tcMar>
              <w:top w:w="0" w:type="dxa"/>
              <w:bottom w:w="0" w:type="dxa"/>
            </w:tcMar>
            <w:vAlign w:val="center"/>
          </w:tcPr>
          <w:p w14:paraId="2E133CF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Investment plan</w:t>
            </w:r>
          </w:p>
        </w:tc>
        <w:tc>
          <w:tcPr>
            <w:tcW w:w="1946" w:type="pct"/>
            <w:shd w:val="clear" w:color="auto" w:fill="auto"/>
            <w:tcMar>
              <w:top w:w="0" w:type="dxa"/>
              <w:bottom w:w="0" w:type="dxa"/>
            </w:tcMar>
            <w:vAlign w:val="center"/>
          </w:tcPr>
          <w:p w14:paraId="3315A246" w14:textId="77777777" w:rsidR="00CB07C4" w:rsidRPr="00CA6CEA" w:rsidRDefault="002D2BA1" w:rsidP="00CA6CEA">
            <w:pPr>
              <w:pBdr>
                <w:top w:val="nil"/>
                <w:left w:val="nil"/>
                <w:bottom w:val="nil"/>
                <w:right w:val="nil"/>
                <w:between w:val="nil"/>
              </w:pBdr>
              <w:tabs>
                <w:tab w:val="left" w:pos="1170"/>
                <w:tab w:val="left" w:pos="1520"/>
              </w:tabs>
              <w:spacing w:after="120" w:line="360" w:lineRule="auto"/>
              <w:rPr>
                <w:rFonts w:ascii="Arial" w:eastAsia="Arial" w:hAnsi="Arial" w:cs="Arial"/>
                <w:color w:val="010000"/>
                <w:sz w:val="20"/>
                <w:szCs w:val="20"/>
              </w:rPr>
            </w:pPr>
            <w:r w:rsidRPr="00CA6CEA">
              <w:rPr>
                <w:rFonts w:ascii="Arial" w:hAnsi="Arial" w:cs="Arial"/>
                <w:color w:val="010000"/>
                <w:sz w:val="20"/>
              </w:rPr>
              <w:t>29,000,000</w:t>
            </w:r>
          </w:p>
        </w:tc>
      </w:tr>
      <w:tr w:rsidR="00CB07C4" w:rsidRPr="00CA6CEA" w14:paraId="5567C3EF" w14:textId="77777777" w:rsidTr="00CA6CEA">
        <w:tc>
          <w:tcPr>
            <w:tcW w:w="340" w:type="pct"/>
            <w:shd w:val="clear" w:color="auto" w:fill="auto"/>
            <w:tcMar>
              <w:top w:w="0" w:type="dxa"/>
              <w:bottom w:w="0" w:type="dxa"/>
            </w:tcMar>
            <w:vAlign w:val="center"/>
          </w:tcPr>
          <w:p w14:paraId="5934F6B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w:t>
            </w:r>
          </w:p>
        </w:tc>
        <w:tc>
          <w:tcPr>
            <w:tcW w:w="2714" w:type="pct"/>
            <w:shd w:val="clear" w:color="auto" w:fill="auto"/>
            <w:tcMar>
              <w:top w:w="0" w:type="dxa"/>
              <w:bottom w:w="0" w:type="dxa"/>
            </w:tcMar>
            <w:vAlign w:val="center"/>
          </w:tcPr>
          <w:p w14:paraId="5FE9B2EE"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 xml:space="preserve">Financial investment (Capital investment in energy </w:t>
            </w:r>
            <w:r w:rsidRPr="00CA6CEA">
              <w:rPr>
                <w:rFonts w:ascii="Arial" w:hAnsi="Arial" w:cs="Arial"/>
                <w:color w:val="010000"/>
                <w:sz w:val="20"/>
              </w:rPr>
              <w:lastRenderedPageBreak/>
              <w:t>projects...)</w:t>
            </w:r>
          </w:p>
        </w:tc>
        <w:tc>
          <w:tcPr>
            <w:tcW w:w="1946" w:type="pct"/>
            <w:shd w:val="clear" w:color="auto" w:fill="auto"/>
            <w:tcMar>
              <w:top w:w="0" w:type="dxa"/>
              <w:bottom w:w="0" w:type="dxa"/>
            </w:tcMar>
            <w:vAlign w:val="center"/>
          </w:tcPr>
          <w:p w14:paraId="2382363F" w14:textId="77777777" w:rsidR="00CB07C4" w:rsidRPr="00CA6CEA" w:rsidRDefault="002D2BA1" w:rsidP="00CA6CEA">
            <w:pPr>
              <w:pBdr>
                <w:top w:val="nil"/>
                <w:left w:val="nil"/>
                <w:bottom w:val="nil"/>
                <w:right w:val="nil"/>
                <w:between w:val="nil"/>
              </w:pBdr>
              <w:tabs>
                <w:tab w:val="left" w:pos="1170"/>
                <w:tab w:val="left" w:pos="1520"/>
              </w:tabs>
              <w:spacing w:after="120" w:line="360" w:lineRule="auto"/>
              <w:rPr>
                <w:rFonts w:ascii="Arial" w:eastAsia="Arial" w:hAnsi="Arial" w:cs="Arial"/>
                <w:color w:val="010000"/>
                <w:sz w:val="20"/>
                <w:szCs w:val="20"/>
              </w:rPr>
            </w:pPr>
            <w:r w:rsidRPr="00CA6CEA">
              <w:rPr>
                <w:rFonts w:ascii="Arial" w:hAnsi="Arial" w:cs="Arial"/>
                <w:color w:val="010000"/>
                <w:sz w:val="20"/>
              </w:rPr>
              <w:lastRenderedPageBreak/>
              <w:t>29,000,000</w:t>
            </w:r>
          </w:p>
        </w:tc>
      </w:tr>
    </w:tbl>
    <w:p w14:paraId="08D498BF" w14:textId="77777777"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lastRenderedPageBreak/>
        <w:t xml:space="preserve">Article 2: Approve the Report on activities of the Supervisory Board in 2023; the operating plan of the Supervisory for 2024. </w:t>
      </w:r>
    </w:p>
    <w:p w14:paraId="5EF48099" w14:textId="756F486F"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t xml:space="preserve">‎‎Article 3. Approve the Financial Statements 2023, the </w:t>
      </w:r>
      <w:r w:rsidR="00B82566">
        <w:rPr>
          <w:rFonts w:ascii="Arial" w:hAnsi="Arial" w:cs="Arial"/>
          <w:color w:val="010000"/>
          <w:sz w:val="20"/>
        </w:rPr>
        <w:t>General Meeting</w:t>
      </w:r>
      <w:r w:rsidRPr="00CA6CEA">
        <w:rPr>
          <w:rFonts w:ascii="Arial" w:hAnsi="Arial" w:cs="Arial"/>
          <w:color w:val="010000"/>
          <w:sz w:val="20"/>
        </w:rPr>
        <w:t xml:space="preserve">s agrees on authorizing the Board of Directors and the Supervisory Board of the Company to select an independent audit company to audit the Financial Statements 2024. </w:t>
      </w:r>
    </w:p>
    <w:p w14:paraId="64F643AC" w14:textId="77777777"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t>‎‎Article 4. Approve the plan for profit distribution and dividend payment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8"/>
        <w:gridCol w:w="5692"/>
        <w:gridCol w:w="801"/>
        <w:gridCol w:w="1886"/>
      </w:tblGrid>
      <w:tr w:rsidR="00CB07C4" w:rsidRPr="00CA6CEA" w14:paraId="053E52BF" w14:textId="77777777" w:rsidTr="00CA6CEA">
        <w:tc>
          <w:tcPr>
            <w:tcW w:w="354" w:type="pct"/>
            <w:shd w:val="clear" w:color="auto" w:fill="auto"/>
            <w:tcMar>
              <w:top w:w="0" w:type="dxa"/>
              <w:bottom w:w="0" w:type="dxa"/>
            </w:tcMar>
            <w:vAlign w:val="center"/>
          </w:tcPr>
          <w:p w14:paraId="568F125F"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No.</w:t>
            </w:r>
          </w:p>
        </w:tc>
        <w:tc>
          <w:tcPr>
            <w:tcW w:w="3156" w:type="pct"/>
            <w:shd w:val="clear" w:color="auto" w:fill="auto"/>
            <w:tcMar>
              <w:top w:w="0" w:type="dxa"/>
              <w:bottom w:w="0" w:type="dxa"/>
            </w:tcMar>
            <w:vAlign w:val="center"/>
          </w:tcPr>
          <w:p w14:paraId="49C0AE2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Target</w:t>
            </w:r>
          </w:p>
        </w:tc>
        <w:tc>
          <w:tcPr>
            <w:tcW w:w="444" w:type="pct"/>
            <w:shd w:val="clear" w:color="auto" w:fill="auto"/>
            <w:tcMar>
              <w:top w:w="0" w:type="dxa"/>
              <w:bottom w:w="0" w:type="dxa"/>
            </w:tcMar>
            <w:vAlign w:val="center"/>
          </w:tcPr>
          <w:p w14:paraId="7FE5569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Unit</w:t>
            </w:r>
          </w:p>
        </w:tc>
        <w:tc>
          <w:tcPr>
            <w:tcW w:w="1046" w:type="pct"/>
            <w:shd w:val="clear" w:color="auto" w:fill="auto"/>
            <w:tcMar>
              <w:top w:w="0" w:type="dxa"/>
              <w:bottom w:w="0" w:type="dxa"/>
            </w:tcMar>
            <w:vAlign w:val="center"/>
          </w:tcPr>
          <w:p w14:paraId="1C37016C"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Amount</w:t>
            </w:r>
          </w:p>
        </w:tc>
      </w:tr>
      <w:tr w:rsidR="00CB07C4" w:rsidRPr="00CA6CEA" w14:paraId="47F0FABC" w14:textId="77777777" w:rsidTr="00CA6CEA">
        <w:tc>
          <w:tcPr>
            <w:tcW w:w="354" w:type="pct"/>
            <w:shd w:val="clear" w:color="auto" w:fill="auto"/>
            <w:tcMar>
              <w:top w:w="0" w:type="dxa"/>
              <w:bottom w:w="0" w:type="dxa"/>
            </w:tcMar>
            <w:vAlign w:val="center"/>
          </w:tcPr>
          <w:p w14:paraId="42F919F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w:t>
            </w:r>
          </w:p>
        </w:tc>
        <w:tc>
          <w:tcPr>
            <w:tcW w:w="3156" w:type="pct"/>
            <w:shd w:val="clear" w:color="auto" w:fill="auto"/>
            <w:tcMar>
              <w:top w:w="0" w:type="dxa"/>
              <w:bottom w:w="0" w:type="dxa"/>
            </w:tcMar>
            <w:vAlign w:val="center"/>
          </w:tcPr>
          <w:p w14:paraId="69650100"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Total profit before tax in 2023</w:t>
            </w:r>
          </w:p>
        </w:tc>
        <w:tc>
          <w:tcPr>
            <w:tcW w:w="444" w:type="pct"/>
            <w:shd w:val="clear" w:color="auto" w:fill="auto"/>
            <w:tcMar>
              <w:top w:w="0" w:type="dxa"/>
              <w:bottom w:w="0" w:type="dxa"/>
            </w:tcMar>
            <w:vAlign w:val="center"/>
          </w:tcPr>
          <w:p w14:paraId="62E43DA8"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VND</w:t>
            </w:r>
          </w:p>
        </w:tc>
        <w:tc>
          <w:tcPr>
            <w:tcW w:w="1046" w:type="pct"/>
            <w:shd w:val="clear" w:color="auto" w:fill="auto"/>
            <w:tcMar>
              <w:top w:w="0" w:type="dxa"/>
              <w:bottom w:w="0" w:type="dxa"/>
            </w:tcMar>
            <w:vAlign w:val="center"/>
          </w:tcPr>
          <w:p w14:paraId="691E3C02"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25,047,637,870</w:t>
            </w:r>
          </w:p>
        </w:tc>
      </w:tr>
      <w:tr w:rsidR="00CB07C4" w:rsidRPr="00CA6CEA" w14:paraId="7019F657" w14:textId="77777777" w:rsidTr="00CA6CEA">
        <w:tc>
          <w:tcPr>
            <w:tcW w:w="354" w:type="pct"/>
            <w:shd w:val="clear" w:color="auto" w:fill="auto"/>
            <w:tcMar>
              <w:top w:w="0" w:type="dxa"/>
              <w:bottom w:w="0" w:type="dxa"/>
            </w:tcMar>
            <w:vAlign w:val="center"/>
          </w:tcPr>
          <w:p w14:paraId="02CFC84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w:t>
            </w:r>
          </w:p>
        </w:tc>
        <w:tc>
          <w:tcPr>
            <w:tcW w:w="3156" w:type="pct"/>
            <w:shd w:val="clear" w:color="auto" w:fill="auto"/>
            <w:tcMar>
              <w:top w:w="0" w:type="dxa"/>
              <w:bottom w:w="0" w:type="dxa"/>
            </w:tcMar>
            <w:vAlign w:val="center"/>
          </w:tcPr>
          <w:p w14:paraId="784223C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Corporate income tax expenses in 2023</w:t>
            </w:r>
          </w:p>
        </w:tc>
        <w:tc>
          <w:tcPr>
            <w:tcW w:w="444" w:type="pct"/>
            <w:shd w:val="clear" w:color="auto" w:fill="auto"/>
            <w:tcMar>
              <w:top w:w="0" w:type="dxa"/>
              <w:bottom w:w="0" w:type="dxa"/>
            </w:tcMar>
            <w:vAlign w:val="center"/>
          </w:tcPr>
          <w:p w14:paraId="1C64668A"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VND</w:t>
            </w:r>
          </w:p>
        </w:tc>
        <w:tc>
          <w:tcPr>
            <w:tcW w:w="1046" w:type="pct"/>
            <w:shd w:val="clear" w:color="auto" w:fill="auto"/>
            <w:tcMar>
              <w:top w:w="0" w:type="dxa"/>
              <w:bottom w:w="0" w:type="dxa"/>
            </w:tcMar>
            <w:vAlign w:val="center"/>
          </w:tcPr>
          <w:p w14:paraId="52BE784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1,275,666,934</w:t>
            </w:r>
          </w:p>
        </w:tc>
      </w:tr>
      <w:tr w:rsidR="00CB07C4" w:rsidRPr="00CA6CEA" w14:paraId="0FDA109A" w14:textId="77777777" w:rsidTr="00CA6CEA">
        <w:tc>
          <w:tcPr>
            <w:tcW w:w="354" w:type="pct"/>
            <w:shd w:val="clear" w:color="auto" w:fill="auto"/>
            <w:tcMar>
              <w:top w:w="0" w:type="dxa"/>
              <w:bottom w:w="0" w:type="dxa"/>
            </w:tcMar>
            <w:vAlign w:val="center"/>
          </w:tcPr>
          <w:p w14:paraId="2F0C55A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3</w:t>
            </w:r>
          </w:p>
        </w:tc>
        <w:tc>
          <w:tcPr>
            <w:tcW w:w="3156" w:type="pct"/>
            <w:shd w:val="clear" w:color="auto" w:fill="auto"/>
            <w:tcMar>
              <w:top w:w="0" w:type="dxa"/>
              <w:bottom w:w="0" w:type="dxa"/>
            </w:tcMar>
            <w:vAlign w:val="center"/>
          </w:tcPr>
          <w:p w14:paraId="073FA13F"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Profit after tax in 2023</w:t>
            </w:r>
          </w:p>
        </w:tc>
        <w:tc>
          <w:tcPr>
            <w:tcW w:w="444" w:type="pct"/>
            <w:shd w:val="clear" w:color="auto" w:fill="auto"/>
            <w:tcMar>
              <w:top w:w="0" w:type="dxa"/>
              <w:bottom w:w="0" w:type="dxa"/>
            </w:tcMar>
            <w:vAlign w:val="center"/>
          </w:tcPr>
          <w:p w14:paraId="2F19A7BC"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VND</w:t>
            </w:r>
          </w:p>
        </w:tc>
        <w:tc>
          <w:tcPr>
            <w:tcW w:w="1046" w:type="pct"/>
            <w:shd w:val="clear" w:color="auto" w:fill="auto"/>
            <w:tcMar>
              <w:top w:w="0" w:type="dxa"/>
              <w:bottom w:w="0" w:type="dxa"/>
            </w:tcMar>
            <w:vAlign w:val="center"/>
          </w:tcPr>
          <w:p w14:paraId="06449378"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23,771,970,936</w:t>
            </w:r>
          </w:p>
        </w:tc>
      </w:tr>
      <w:tr w:rsidR="00CB07C4" w:rsidRPr="00CA6CEA" w14:paraId="1F8A8780" w14:textId="77777777" w:rsidTr="00CA6CEA">
        <w:tc>
          <w:tcPr>
            <w:tcW w:w="354" w:type="pct"/>
            <w:shd w:val="clear" w:color="auto" w:fill="auto"/>
            <w:tcMar>
              <w:top w:w="0" w:type="dxa"/>
              <w:bottom w:w="0" w:type="dxa"/>
            </w:tcMar>
            <w:vAlign w:val="center"/>
          </w:tcPr>
          <w:p w14:paraId="3BBBABA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4</w:t>
            </w:r>
          </w:p>
        </w:tc>
        <w:tc>
          <w:tcPr>
            <w:tcW w:w="3156" w:type="pct"/>
            <w:shd w:val="clear" w:color="auto" w:fill="auto"/>
            <w:tcMar>
              <w:top w:w="0" w:type="dxa"/>
              <w:bottom w:w="0" w:type="dxa"/>
            </w:tcMar>
            <w:vAlign w:val="center"/>
          </w:tcPr>
          <w:p w14:paraId="29B4F8F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Remaining undistributed profit after tax in 2022</w:t>
            </w:r>
          </w:p>
        </w:tc>
        <w:tc>
          <w:tcPr>
            <w:tcW w:w="444" w:type="pct"/>
            <w:shd w:val="clear" w:color="auto" w:fill="auto"/>
            <w:tcMar>
              <w:top w:w="0" w:type="dxa"/>
              <w:bottom w:w="0" w:type="dxa"/>
            </w:tcMar>
            <w:vAlign w:val="center"/>
          </w:tcPr>
          <w:p w14:paraId="1EC0DB2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VND</w:t>
            </w:r>
          </w:p>
        </w:tc>
        <w:tc>
          <w:tcPr>
            <w:tcW w:w="1046" w:type="pct"/>
            <w:shd w:val="clear" w:color="auto" w:fill="auto"/>
            <w:tcMar>
              <w:top w:w="0" w:type="dxa"/>
              <w:bottom w:w="0" w:type="dxa"/>
            </w:tcMar>
            <w:vAlign w:val="center"/>
          </w:tcPr>
          <w:p w14:paraId="67A42774"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1,773,621,748</w:t>
            </w:r>
          </w:p>
        </w:tc>
      </w:tr>
      <w:tr w:rsidR="00CB07C4" w:rsidRPr="00CA6CEA" w14:paraId="2B1ACC84" w14:textId="77777777" w:rsidTr="00CA6CEA">
        <w:tc>
          <w:tcPr>
            <w:tcW w:w="354" w:type="pct"/>
            <w:shd w:val="clear" w:color="auto" w:fill="auto"/>
            <w:tcMar>
              <w:top w:w="0" w:type="dxa"/>
              <w:bottom w:w="0" w:type="dxa"/>
            </w:tcMar>
            <w:vAlign w:val="center"/>
          </w:tcPr>
          <w:p w14:paraId="207D04BB"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5</w:t>
            </w:r>
          </w:p>
        </w:tc>
        <w:tc>
          <w:tcPr>
            <w:tcW w:w="3156" w:type="pct"/>
            <w:shd w:val="clear" w:color="auto" w:fill="auto"/>
            <w:tcMar>
              <w:top w:w="0" w:type="dxa"/>
              <w:bottom w:w="0" w:type="dxa"/>
            </w:tcMar>
            <w:vAlign w:val="center"/>
          </w:tcPr>
          <w:p w14:paraId="772B3B7E"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Undistributed accumulated profit after tax</w:t>
            </w:r>
          </w:p>
        </w:tc>
        <w:tc>
          <w:tcPr>
            <w:tcW w:w="444" w:type="pct"/>
            <w:shd w:val="clear" w:color="auto" w:fill="auto"/>
            <w:tcMar>
              <w:top w:w="0" w:type="dxa"/>
              <w:bottom w:w="0" w:type="dxa"/>
            </w:tcMar>
            <w:vAlign w:val="center"/>
          </w:tcPr>
          <w:p w14:paraId="50964E8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VND</w:t>
            </w:r>
          </w:p>
        </w:tc>
        <w:tc>
          <w:tcPr>
            <w:tcW w:w="1046" w:type="pct"/>
            <w:shd w:val="clear" w:color="auto" w:fill="auto"/>
            <w:tcMar>
              <w:top w:w="0" w:type="dxa"/>
              <w:bottom w:w="0" w:type="dxa"/>
            </w:tcMar>
            <w:vAlign w:val="center"/>
          </w:tcPr>
          <w:p w14:paraId="314E7CE9"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25,545,592,684</w:t>
            </w:r>
          </w:p>
        </w:tc>
      </w:tr>
      <w:tr w:rsidR="00CB07C4" w:rsidRPr="00CA6CEA" w14:paraId="29662DC3" w14:textId="77777777" w:rsidTr="00CA6CEA">
        <w:tc>
          <w:tcPr>
            <w:tcW w:w="354" w:type="pct"/>
            <w:shd w:val="clear" w:color="auto" w:fill="auto"/>
            <w:tcMar>
              <w:top w:w="0" w:type="dxa"/>
              <w:bottom w:w="0" w:type="dxa"/>
            </w:tcMar>
            <w:vAlign w:val="center"/>
          </w:tcPr>
          <w:p w14:paraId="3E249D9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6</w:t>
            </w:r>
          </w:p>
        </w:tc>
        <w:tc>
          <w:tcPr>
            <w:tcW w:w="3156" w:type="pct"/>
            <w:shd w:val="clear" w:color="auto" w:fill="auto"/>
            <w:tcMar>
              <w:top w:w="0" w:type="dxa"/>
              <w:bottom w:w="0" w:type="dxa"/>
            </w:tcMar>
            <w:vAlign w:val="center"/>
          </w:tcPr>
          <w:p w14:paraId="1DBDDE08"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Distribution of profit after tax</w:t>
            </w:r>
          </w:p>
        </w:tc>
        <w:tc>
          <w:tcPr>
            <w:tcW w:w="444" w:type="pct"/>
            <w:shd w:val="clear" w:color="auto" w:fill="auto"/>
            <w:tcMar>
              <w:top w:w="0" w:type="dxa"/>
              <w:bottom w:w="0" w:type="dxa"/>
            </w:tcMar>
            <w:vAlign w:val="center"/>
          </w:tcPr>
          <w:p w14:paraId="17FB934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VND</w:t>
            </w:r>
          </w:p>
        </w:tc>
        <w:tc>
          <w:tcPr>
            <w:tcW w:w="1046" w:type="pct"/>
            <w:shd w:val="clear" w:color="auto" w:fill="auto"/>
            <w:tcMar>
              <w:top w:w="0" w:type="dxa"/>
              <w:bottom w:w="0" w:type="dxa"/>
            </w:tcMar>
            <w:vAlign w:val="center"/>
          </w:tcPr>
          <w:p w14:paraId="294DD16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17,063,180,000</w:t>
            </w:r>
          </w:p>
        </w:tc>
      </w:tr>
      <w:tr w:rsidR="00CB07C4" w:rsidRPr="00CA6CEA" w14:paraId="4E87145F" w14:textId="77777777" w:rsidTr="00CA6CEA">
        <w:tc>
          <w:tcPr>
            <w:tcW w:w="354" w:type="pct"/>
            <w:shd w:val="clear" w:color="auto" w:fill="auto"/>
            <w:tcMar>
              <w:top w:w="0" w:type="dxa"/>
              <w:bottom w:w="0" w:type="dxa"/>
            </w:tcMar>
            <w:vAlign w:val="center"/>
          </w:tcPr>
          <w:p w14:paraId="4FF65C2B"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6.1</w:t>
            </w:r>
          </w:p>
        </w:tc>
        <w:tc>
          <w:tcPr>
            <w:tcW w:w="3156" w:type="pct"/>
            <w:shd w:val="clear" w:color="auto" w:fill="auto"/>
            <w:tcMar>
              <w:top w:w="0" w:type="dxa"/>
              <w:bottom w:w="0" w:type="dxa"/>
            </w:tcMar>
            <w:vAlign w:val="center"/>
          </w:tcPr>
          <w:p w14:paraId="393ABEA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Additional appropriation for bonus and welfare fund (at the rate of 1%/profit after tax)</w:t>
            </w:r>
          </w:p>
        </w:tc>
        <w:tc>
          <w:tcPr>
            <w:tcW w:w="444" w:type="pct"/>
            <w:shd w:val="clear" w:color="auto" w:fill="auto"/>
            <w:tcMar>
              <w:top w:w="0" w:type="dxa"/>
              <w:bottom w:w="0" w:type="dxa"/>
            </w:tcMar>
            <w:vAlign w:val="center"/>
          </w:tcPr>
          <w:p w14:paraId="1DB0EF20"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VND</w:t>
            </w:r>
          </w:p>
        </w:tc>
        <w:tc>
          <w:tcPr>
            <w:tcW w:w="1046" w:type="pct"/>
            <w:shd w:val="clear" w:color="auto" w:fill="auto"/>
            <w:tcMar>
              <w:top w:w="0" w:type="dxa"/>
              <w:bottom w:w="0" w:type="dxa"/>
            </w:tcMar>
            <w:vAlign w:val="center"/>
          </w:tcPr>
          <w:p w14:paraId="27D26C0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250,000,000</w:t>
            </w:r>
          </w:p>
        </w:tc>
      </w:tr>
      <w:tr w:rsidR="00CB07C4" w:rsidRPr="00CA6CEA" w14:paraId="2B9FE23A" w14:textId="77777777" w:rsidTr="00CA6CEA">
        <w:tc>
          <w:tcPr>
            <w:tcW w:w="354" w:type="pct"/>
            <w:shd w:val="clear" w:color="auto" w:fill="auto"/>
            <w:tcMar>
              <w:top w:w="0" w:type="dxa"/>
              <w:bottom w:w="0" w:type="dxa"/>
            </w:tcMar>
            <w:vAlign w:val="center"/>
          </w:tcPr>
          <w:p w14:paraId="2F255375"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6.2</w:t>
            </w:r>
          </w:p>
        </w:tc>
        <w:tc>
          <w:tcPr>
            <w:tcW w:w="3156" w:type="pct"/>
            <w:shd w:val="clear" w:color="auto" w:fill="auto"/>
            <w:tcMar>
              <w:top w:w="0" w:type="dxa"/>
              <w:bottom w:w="0" w:type="dxa"/>
            </w:tcMar>
            <w:vAlign w:val="center"/>
          </w:tcPr>
          <w:p w14:paraId="45FF8C44"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Appropriation for bonus fund of the Executive Board</w:t>
            </w:r>
          </w:p>
        </w:tc>
        <w:tc>
          <w:tcPr>
            <w:tcW w:w="444" w:type="pct"/>
            <w:shd w:val="clear" w:color="auto" w:fill="auto"/>
            <w:tcMar>
              <w:top w:w="0" w:type="dxa"/>
              <w:bottom w:w="0" w:type="dxa"/>
            </w:tcMar>
            <w:vAlign w:val="center"/>
          </w:tcPr>
          <w:p w14:paraId="77B4E198"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VND</w:t>
            </w:r>
          </w:p>
        </w:tc>
        <w:tc>
          <w:tcPr>
            <w:tcW w:w="1046" w:type="pct"/>
            <w:shd w:val="clear" w:color="auto" w:fill="auto"/>
            <w:tcMar>
              <w:top w:w="0" w:type="dxa"/>
              <w:bottom w:w="0" w:type="dxa"/>
            </w:tcMar>
            <w:vAlign w:val="center"/>
          </w:tcPr>
          <w:p w14:paraId="713F7CB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200,000,000</w:t>
            </w:r>
          </w:p>
        </w:tc>
      </w:tr>
      <w:tr w:rsidR="00CB07C4" w:rsidRPr="00CA6CEA" w14:paraId="34023E41" w14:textId="77777777" w:rsidTr="00CA6CEA">
        <w:tc>
          <w:tcPr>
            <w:tcW w:w="354" w:type="pct"/>
            <w:shd w:val="clear" w:color="auto" w:fill="auto"/>
            <w:tcMar>
              <w:top w:w="0" w:type="dxa"/>
              <w:bottom w:w="0" w:type="dxa"/>
            </w:tcMar>
            <w:vAlign w:val="center"/>
          </w:tcPr>
          <w:p w14:paraId="2FB6A702"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6.3</w:t>
            </w:r>
          </w:p>
        </w:tc>
        <w:tc>
          <w:tcPr>
            <w:tcW w:w="3156" w:type="pct"/>
            <w:shd w:val="clear" w:color="auto" w:fill="auto"/>
            <w:tcMar>
              <w:top w:w="0" w:type="dxa"/>
              <w:bottom w:w="0" w:type="dxa"/>
            </w:tcMar>
            <w:vAlign w:val="center"/>
          </w:tcPr>
          <w:p w14:paraId="0D31CCB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Dividend payment in 2023 at the rate of 20% (VND 2,000/1 share)</w:t>
            </w:r>
          </w:p>
        </w:tc>
        <w:tc>
          <w:tcPr>
            <w:tcW w:w="444" w:type="pct"/>
            <w:shd w:val="clear" w:color="auto" w:fill="auto"/>
            <w:tcMar>
              <w:top w:w="0" w:type="dxa"/>
              <w:bottom w:w="0" w:type="dxa"/>
            </w:tcMar>
            <w:vAlign w:val="center"/>
          </w:tcPr>
          <w:p w14:paraId="4A86A1C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VND</w:t>
            </w:r>
          </w:p>
        </w:tc>
        <w:tc>
          <w:tcPr>
            <w:tcW w:w="1046" w:type="pct"/>
            <w:shd w:val="clear" w:color="auto" w:fill="auto"/>
            <w:tcMar>
              <w:top w:w="0" w:type="dxa"/>
              <w:bottom w:w="0" w:type="dxa"/>
            </w:tcMar>
            <w:vAlign w:val="center"/>
          </w:tcPr>
          <w:p w14:paraId="29F841D4"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16,613,180,000</w:t>
            </w:r>
          </w:p>
        </w:tc>
      </w:tr>
      <w:tr w:rsidR="00CB07C4" w:rsidRPr="00CA6CEA" w14:paraId="7E048FC1" w14:textId="77777777" w:rsidTr="00CA6CEA">
        <w:tc>
          <w:tcPr>
            <w:tcW w:w="354" w:type="pct"/>
            <w:shd w:val="clear" w:color="auto" w:fill="auto"/>
            <w:tcMar>
              <w:top w:w="0" w:type="dxa"/>
              <w:bottom w:w="0" w:type="dxa"/>
            </w:tcMar>
            <w:vAlign w:val="center"/>
          </w:tcPr>
          <w:p w14:paraId="551B0E1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7</w:t>
            </w:r>
          </w:p>
        </w:tc>
        <w:tc>
          <w:tcPr>
            <w:tcW w:w="3156" w:type="pct"/>
            <w:shd w:val="clear" w:color="auto" w:fill="auto"/>
            <w:tcMar>
              <w:top w:w="0" w:type="dxa"/>
              <w:bottom w:w="0" w:type="dxa"/>
            </w:tcMar>
            <w:vAlign w:val="center"/>
          </w:tcPr>
          <w:p w14:paraId="09F87754"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Undistributed profit retained for the following year</w:t>
            </w:r>
          </w:p>
        </w:tc>
        <w:tc>
          <w:tcPr>
            <w:tcW w:w="444" w:type="pct"/>
            <w:shd w:val="clear" w:color="auto" w:fill="auto"/>
            <w:tcMar>
              <w:top w:w="0" w:type="dxa"/>
              <w:bottom w:w="0" w:type="dxa"/>
            </w:tcMar>
            <w:vAlign w:val="center"/>
          </w:tcPr>
          <w:p w14:paraId="1C06855E"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VND</w:t>
            </w:r>
          </w:p>
        </w:tc>
        <w:tc>
          <w:tcPr>
            <w:tcW w:w="1046" w:type="pct"/>
            <w:shd w:val="clear" w:color="auto" w:fill="auto"/>
            <w:tcMar>
              <w:top w:w="0" w:type="dxa"/>
              <w:bottom w:w="0" w:type="dxa"/>
            </w:tcMar>
            <w:vAlign w:val="center"/>
          </w:tcPr>
          <w:p w14:paraId="4137354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8,482,412,684</w:t>
            </w:r>
          </w:p>
        </w:tc>
      </w:tr>
    </w:tbl>
    <w:p w14:paraId="100BD594" w14:textId="77777777"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t>‎‎Article 5. Approve the plan on salary and remuneration for members of the Board of Directors, the Supervisory Board in 2023, and the plan on salary and remuneration for 2024.</w:t>
      </w:r>
    </w:p>
    <w:p w14:paraId="310D48FC" w14:textId="77777777" w:rsidR="00CB07C4" w:rsidRPr="00CA6CEA" w:rsidRDefault="002D2BA1" w:rsidP="00B82566">
      <w:pPr>
        <w:numPr>
          <w:ilvl w:val="0"/>
          <w:numId w:val="2"/>
        </w:numPr>
        <w:pBdr>
          <w:top w:val="nil"/>
          <w:left w:val="nil"/>
          <w:bottom w:val="nil"/>
          <w:right w:val="nil"/>
          <w:between w:val="nil"/>
        </w:pBdr>
        <w:tabs>
          <w:tab w:val="left" w:pos="432"/>
          <w:tab w:val="left" w:pos="825"/>
        </w:tabs>
        <w:spacing w:after="120" w:line="360" w:lineRule="auto"/>
        <w:jc w:val="both"/>
        <w:rPr>
          <w:rFonts w:ascii="Arial" w:eastAsia="Arial" w:hAnsi="Arial" w:cs="Arial"/>
          <w:color w:val="010000"/>
          <w:sz w:val="20"/>
          <w:szCs w:val="20"/>
        </w:rPr>
      </w:pPr>
      <w:r w:rsidRPr="00CA6CEA">
        <w:rPr>
          <w:rFonts w:ascii="Arial" w:hAnsi="Arial" w:cs="Arial"/>
          <w:color w:val="010000"/>
          <w:sz w:val="20"/>
        </w:rPr>
        <w:t>Settlement of salary and remuneration in 2023:</w:t>
      </w:r>
    </w:p>
    <w:p w14:paraId="65B5CA8E" w14:textId="77777777" w:rsidR="00CB07C4" w:rsidRPr="00CA6CEA" w:rsidRDefault="002D2BA1" w:rsidP="00B8256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A6CEA">
        <w:rPr>
          <w:rFonts w:ascii="Arial" w:hAnsi="Arial" w:cs="Arial"/>
          <w:color w:val="010000"/>
          <w:sz w:val="20"/>
        </w:rPr>
        <w:t>The remuneration of members of the Board of Directors and the Supervisory Board is paid in accordance with Annual General Mandate 2023 No. 01/NQ-DHDCD dated April 1, 2023.</w:t>
      </w:r>
    </w:p>
    <w:p w14:paraId="0A288FB8" w14:textId="77777777" w:rsidR="00CB07C4" w:rsidRPr="00CA6CEA" w:rsidRDefault="002D2BA1" w:rsidP="00B82566">
      <w:pPr>
        <w:numPr>
          <w:ilvl w:val="0"/>
          <w:numId w:val="1"/>
        </w:numPr>
        <w:pBdr>
          <w:top w:val="nil"/>
          <w:left w:val="nil"/>
          <w:bottom w:val="nil"/>
          <w:right w:val="nil"/>
          <w:between w:val="nil"/>
        </w:pBdr>
        <w:tabs>
          <w:tab w:val="left" w:pos="432"/>
          <w:tab w:val="left" w:pos="760"/>
        </w:tabs>
        <w:spacing w:after="120" w:line="360" w:lineRule="auto"/>
        <w:jc w:val="both"/>
        <w:rPr>
          <w:rFonts w:ascii="Arial" w:eastAsia="Arial" w:hAnsi="Arial" w:cs="Arial"/>
          <w:color w:val="010000"/>
          <w:sz w:val="20"/>
          <w:szCs w:val="20"/>
        </w:rPr>
      </w:pPr>
      <w:r w:rsidRPr="00CA6CEA">
        <w:rPr>
          <w:rFonts w:ascii="Arial" w:hAnsi="Arial" w:cs="Arial"/>
          <w:color w:val="010000"/>
          <w:sz w:val="20"/>
        </w:rPr>
        <w:t>Estimated total remuneration for the Board of Directors and the Supervisory Board in 2023: VND 234,000,000.</w:t>
      </w:r>
    </w:p>
    <w:p w14:paraId="511E290F" w14:textId="77777777" w:rsidR="00CB07C4" w:rsidRPr="00CA6CEA" w:rsidRDefault="002D2BA1" w:rsidP="00B82566">
      <w:pPr>
        <w:numPr>
          <w:ilvl w:val="0"/>
          <w:numId w:val="1"/>
        </w:numPr>
        <w:pBdr>
          <w:top w:val="nil"/>
          <w:left w:val="nil"/>
          <w:bottom w:val="nil"/>
          <w:right w:val="nil"/>
          <w:between w:val="nil"/>
        </w:pBdr>
        <w:tabs>
          <w:tab w:val="left" w:pos="432"/>
          <w:tab w:val="left" w:pos="785"/>
        </w:tabs>
        <w:spacing w:after="120" w:line="360" w:lineRule="auto"/>
        <w:jc w:val="both"/>
        <w:rPr>
          <w:rFonts w:ascii="Arial" w:eastAsia="Arial" w:hAnsi="Arial" w:cs="Arial"/>
          <w:color w:val="010000"/>
          <w:sz w:val="20"/>
          <w:szCs w:val="20"/>
        </w:rPr>
      </w:pPr>
      <w:r w:rsidRPr="00CA6CEA">
        <w:rPr>
          <w:rFonts w:ascii="Arial" w:hAnsi="Arial" w:cs="Arial"/>
          <w:color w:val="010000"/>
          <w:sz w:val="20"/>
        </w:rPr>
        <w:t>Settlement of remuneration in 2023: During the year, remuneration was settled according to the average planned completion rate of targets of output, revenue, profit before tax and completed investment project dossiers with a completion rate of 106.9 % of the plan. Therefore, the remuneration of members of the Board of Directors and the Supervisors in 2023 is settled at a rate of 100% of the plan, corresponding to an amount of VND 224,000,000 (Remuneration decreased compared to the plan due to 01 member of the Supervisory Board resigning from July 2023).</w:t>
      </w:r>
    </w:p>
    <w:p w14:paraId="0D1A0C87" w14:textId="77777777" w:rsidR="00CB07C4" w:rsidRPr="00CA6CEA" w:rsidRDefault="002D2BA1" w:rsidP="00B82566">
      <w:pPr>
        <w:numPr>
          <w:ilvl w:val="0"/>
          <w:numId w:val="1"/>
        </w:numPr>
        <w:pBdr>
          <w:top w:val="nil"/>
          <w:left w:val="nil"/>
          <w:bottom w:val="nil"/>
          <w:right w:val="nil"/>
          <w:between w:val="nil"/>
        </w:pBdr>
        <w:tabs>
          <w:tab w:val="left" w:pos="432"/>
          <w:tab w:val="left" w:pos="780"/>
        </w:tabs>
        <w:spacing w:after="120" w:line="360" w:lineRule="auto"/>
        <w:jc w:val="both"/>
        <w:rPr>
          <w:rFonts w:ascii="Arial" w:eastAsia="Arial" w:hAnsi="Arial" w:cs="Arial"/>
          <w:color w:val="010000"/>
          <w:sz w:val="20"/>
          <w:szCs w:val="20"/>
        </w:rPr>
      </w:pPr>
      <w:r w:rsidRPr="00CA6CEA">
        <w:rPr>
          <w:rFonts w:ascii="Arial" w:hAnsi="Arial" w:cs="Arial"/>
          <w:color w:val="010000"/>
          <w:sz w:val="20"/>
        </w:rPr>
        <w:lastRenderedPageBreak/>
        <w:t xml:space="preserve">Bonus payment in 2023: In 2023, </w:t>
      </w:r>
      <w:proofErr w:type="spellStart"/>
      <w:r w:rsidRPr="00CA6CEA">
        <w:rPr>
          <w:rFonts w:ascii="Arial" w:hAnsi="Arial" w:cs="Arial"/>
          <w:color w:val="010000"/>
          <w:sz w:val="20"/>
        </w:rPr>
        <w:t>Dak</w:t>
      </w:r>
      <w:proofErr w:type="spellEnd"/>
      <w:r w:rsidRPr="00CA6CEA">
        <w:rPr>
          <w:rFonts w:ascii="Arial" w:hAnsi="Arial" w:cs="Arial"/>
          <w:color w:val="010000"/>
          <w:sz w:val="20"/>
        </w:rPr>
        <w:t xml:space="preserve"> </w:t>
      </w:r>
      <w:proofErr w:type="spellStart"/>
      <w:r w:rsidRPr="00CA6CEA">
        <w:rPr>
          <w:rFonts w:ascii="Arial" w:hAnsi="Arial" w:cs="Arial"/>
          <w:color w:val="010000"/>
          <w:sz w:val="20"/>
        </w:rPr>
        <w:t>Doa</w:t>
      </w:r>
      <w:proofErr w:type="spellEnd"/>
      <w:r w:rsidRPr="00CA6CEA">
        <w:rPr>
          <w:rFonts w:ascii="Arial" w:hAnsi="Arial" w:cs="Arial"/>
          <w:color w:val="010000"/>
          <w:sz w:val="20"/>
        </w:rPr>
        <w:t xml:space="preserve"> Hydropower Joint Stock Company has exceeded its production and business plan. Therefore, the bonus for the Board of Directors (members of the Board of Directors, Supervisors, the Board of Managers and other managers) of </w:t>
      </w:r>
      <w:proofErr w:type="spellStart"/>
      <w:r w:rsidRPr="00CA6CEA">
        <w:rPr>
          <w:rFonts w:ascii="Arial" w:hAnsi="Arial" w:cs="Arial"/>
          <w:color w:val="010000"/>
          <w:sz w:val="20"/>
        </w:rPr>
        <w:t>Dak</w:t>
      </w:r>
      <w:proofErr w:type="spellEnd"/>
      <w:r w:rsidRPr="00CA6CEA">
        <w:rPr>
          <w:rFonts w:ascii="Arial" w:hAnsi="Arial" w:cs="Arial"/>
          <w:color w:val="010000"/>
          <w:sz w:val="20"/>
        </w:rPr>
        <w:t xml:space="preserve"> </w:t>
      </w:r>
      <w:proofErr w:type="spellStart"/>
      <w:r w:rsidRPr="00CA6CEA">
        <w:rPr>
          <w:rFonts w:ascii="Arial" w:hAnsi="Arial" w:cs="Arial"/>
          <w:color w:val="010000"/>
          <w:sz w:val="20"/>
        </w:rPr>
        <w:t>Doa</w:t>
      </w:r>
      <w:proofErr w:type="spellEnd"/>
      <w:r w:rsidRPr="00CA6CEA">
        <w:rPr>
          <w:rFonts w:ascii="Arial" w:hAnsi="Arial" w:cs="Arial"/>
          <w:color w:val="010000"/>
          <w:sz w:val="20"/>
        </w:rPr>
        <w:t xml:space="preserve"> Hydropower Joint Stock Company is VND 200,000,000.</w:t>
      </w:r>
    </w:p>
    <w:p w14:paraId="3B5F55FC" w14:textId="77777777" w:rsidR="00CB07C4" w:rsidRPr="00CA6CEA" w:rsidRDefault="002D2BA1" w:rsidP="00B82566">
      <w:pPr>
        <w:numPr>
          <w:ilvl w:val="0"/>
          <w:numId w:val="2"/>
        </w:numPr>
        <w:pBdr>
          <w:top w:val="nil"/>
          <w:left w:val="nil"/>
          <w:bottom w:val="nil"/>
          <w:right w:val="nil"/>
          <w:between w:val="nil"/>
        </w:pBdr>
        <w:tabs>
          <w:tab w:val="left" w:pos="432"/>
          <w:tab w:val="left" w:pos="2021"/>
        </w:tabs>
        <w:spacing w:after="120" w:line="360" w:lineRule="auto"/>
        <w:jc w:val="both"/>
        <w:rPr>
          <w:rFonts w:ascii="Arial" w:eastAsia="Arial" w:hAnsi="Arial" w:cs="Arial"/>
          <w:color w:val="010000"/>
          <w:sz w:val="20"/>
          <w:szCs w:val="20"/>
        </w:rPr>
      </w:pPr>
      <w:r w:rsidRPr="00CA6CEA">
        <w:rPr>
          <w:rFonts w:ascii="Arial" w:hAnsi="Arial" w:cs="Arial"/>
          <w:color w:val="010000"/>
          <w:sz w:val="20"/>
        </w:rPr>
        <w:t>2024 Plan:</w:t>
      </w:r>
    </w:p>
    <w:p w14:paraId="53726E33" w14:textId="39507FFA" w:rsidR="00CB07C4" w:rsidRPr="00CA6CEA" w:rsidRDefault="002D2BA1" w:rsidP="00B82566">
      <w:pPr>
        <w:numPr>
          <w:ilvl w:val="0"/>
          <w:numId w:val="3"/>
        </w:numPr>
        <w:pBdr>
          <w:top w:val="nil"/>
          <w:left w:val="nil"/>
          <w:bottom w:val="nil"/>
          <w:right w:val="nil"/>
          <w:between w:val="nil"/>
        </w:pBdr>
        <w:tabs>
          <w:tab w:val="left" w:pos="432"/>
          <w:tab w:val="left" w:pos="2011"/>
        </w:tabs>
        <w:spacing w:after="120" w:line="360" w:lineRule="auto"/>
        <w:jc w:val="both"/>
        <w:rPr>
          <w:rFonts w:ascii="Arial" w:eastAsia="Arial" w:hAnsi="Arial" w:cs="Arial"/>
          <w:color w:val="010000"/>
          <w:sz w:val="20"/>
          <w:szCs w:val="20"/>
        </w:rPr>
      </w:pPr>
      <w:r w:rsidRPr="00CA6CEA">
        <w:rPr>
          <w:rFonts w:ascii="Arial" w:hAnsi="Arial" w:cs="Arial"/>
          <w:color w:val="010000"/>
          <w:sz w:val="20"/>
        </w:rPr>
        <w:t>The remuneration of the Board of Directors and the Supervisory Board is settled at the end of the year according to the results of implementing the production and business plan (including output, revenue, profit before tax).</w:t>
      </w:r>
      <w:r w:rsidR="00CA6CEA" w:rsidRPr="00CA6CEA">
        <w:rPr>
          <w:rFonts w:ascii="Arial" w:hAnsi="Arial" w:cs="Arial"/>
          <w:color w:val="010000"/>
          <w:sz w:val="20"/>
        </w:rPr>
        <w:t xml:space="preserve"> </w:t>
      </w:r>
    </w:p>
    <w:p w14:paraId="67FA8992" w14:textId="77777777"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t>If &gt;100% of the plan is completed, the estimated total remuneration for 2024 is as follows:</w:t>
      </w:r>
    </w:p>
    <w:p w14:paraId="117C8739"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3"/>
        <w:gridCol w:w="3407"/>
        <w:gridCol w:w="1749"/>
        <w:gridCol w:w="961"/>
        <w:gridCol w:w="2207"/>
      </w:tblGrid>
      <w:tr w:rsidR="00CB07C4" w:rsidRPr="00CA6CEA" w14:paraId="544B9E73" w14:textId="77777777" w:rsidTr="00CA6CEA">
        <w:tc>
          <w:tcPr>
            <w:tcW w:w="384" w:type="pct"/>
            <w:shd w:val="clear" w:color="auto" w:fill="auto"/>
            <w:tcMar>
              <w:top w:w="0" w:type="dxa"/>
              <w:bottom w:w="0" w:type="dxa"/>
            </w:tcMar>
            <w:vAlign w:val="center"/>
          </w:tcPr>
          <w:p w14:paraId="715C5FBC"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No.</w:t>
            </w:r>
          </w:p>
        </w:tc>
        <w:tc>
          <w:tcPr>
            <w:tcW w:w="1889" w:type="pct"/>
            <w:shd w:val="clear" w:color="auto" w:fill="auto"/>
            <w:tcMar>
              <w:top w:w="0" w:type="dxa"/>
              <w:bottom w:w="0" w:type="dxa"/>
            </w:tcMar>
            <w:vAlign w:val="center"/>
          </w:tcPr>
          <w:p w14:paraId="7FD19AD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Position</w:t>
            </w:r>
          </w:p>
        </w:tc>
        <w:tc>
          <w:tcPr>
            <w:tcW w:w="970" w:type="pct"/>
            <w:shd w:val="clear" w:color="auto" w:fill="auto"/>
            <w:tcMar>
              <w:top w:w="0" w:type="dxa"/>
              <w:bottom w:w="0" w:type="dxa"/>
            </w:tcMar>
            <w:vAlign w:val="center"/>
          </w:tcPr>
          <w:p w14:paraId="272D36F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Monthly remuneration</w:t>
            </w:r>
          </w:p>
        </w:tc>
        <w:tc>
          <w:tcPr>
            <w:tcW w:w="533" w:type="pct"/>
            <w:shd w:val="clear" w:color="auto" w:fill="auto"/>
            <w:tcMar>
              <w:top w:w="0" w:type="dxa"/>
              <w:bottom w:w="0" w:type="dxa"/>
            </w:tcMar>
            <w:vAlign w:val="center"/>
          </w:tcPr>
          <w:p w14:paraId="0CA18E80"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Number (person)</w:t>
            </w:r>
          </w:p>
        </w:tc>
        <w:tc>
          <w:tcPr>
            <w:tcW w:w="1224" w:type="pct"/>
            <w:shd w:val="clear" w:color="auto" w:fill="auto"/>
            <w:tcMar>
              <w:top w:w="0" w:type="dxa"/>
              <w:bottom w:w="0" w:type="dxa"/>
            </w:tcMar>
            <w:vAlign w:val="center"/>
          </w:tcPr>
          <w:p w14:paraId="2CE47AE6"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Total remuneration in 2024</w:t>
            </w:r>
          </w:p>
        </w:tc>
      </w:tr>
      <w:tr w:rsidR="00CB07C4" w:rsidRPr="00CA6CEA" w14:paraId="0363D31F" w14:textId="77777777" w:rsidTr="00CA6CEA">
        <w:tc>
          <w:tcPr>
            <w:tcW w:w="384" w:type="pct"/>
            <w:shd w:val="clear" w:color="auto" w:fill="auto"/>
            <w:tcMar>
              <w:top w:w="0" w:type="dxa"/>
              <w:bottom w:w="0" w:type="dxa"/>
            </w:tcMar>
            <w:vAlign w:val="center"/>
          </w:tcPr>
          <w:p w14:paraId="740A73E5"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w:t>
            </w:r>
          </w:p>
        </w:tc>
        <w:tc>
          <w:tcPr>
            <w:tcW w:w="1889" w:type="pct"/>
            <w:shd w:val="clear" w:color="auto" w:fill="auto"/>
            <w:tcMar>
              <w:top w:w="0" w:type="dxa"/>
              <w:bottom w:w="0" w:type="dxa"/>
            </w:tcMar>
            <w:vAlign w:val="center"/>
          </w:tcPr>
          <w:p w14:paraId="500D1B64"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Chair of the Board of Directors</w:t>
            </w:r>
          </w:p>
        </w:tc>
        <w:tc>
          <w:tcPr>
            <w:tcW w:w="970" w:type="pct"/>
            <w:shd w:val="clear" w:color="auto" w:fill="auto"/>
            <w:tcMar>
              <w:top w:w="0" w:type="dxa"/>
              <w:bottom w:w="0" w:type="dxa"/>
            </w:tcMar>
            <w:vAlign w:val="center"/>
          </w:tcPr>
          <w:p w14:paraId="21E0A744"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5,000,000</w:t>
            </w:r>
          </w:p>
        </w:tc>
        <w:tc>
          <w:tcPr>
            <w:tcW w:w="533" w:type="pct"/>
            <w:shd w:val="clear" w:color="auto" w:fill="auto"/>
            <w:tcMar>
              <w:top w:w="0" w:type="dxa"/>
              <w:bottom w:w="0" w:type="dxa"/>
            </w:tcMar>
            <w:vAlign w:val="center"/>
          </w:tcPr>
          <w:p w14:paraId="427DB0AC"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w:t>
            </w:r>
          </w:p>
        </w:tc>
        <w:tc>
          <w:tcPr>
            <w:tcW w:w="1224" w:type="pct"/>
            <w:shd w:val="clear" w:color="auto" w:fill="auto"/>
            <w:tcMar>
              <w:top w:w="0" w:type="dxa"/>
              <w:bottom w:w="0" w:type="dxa"/>
            </w:tcMar>
            <w:vAlign w:val="center"/>
          </w:tcPr>
          <w:p w14:paraId="6AEF8F92"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60,000,000</w:t>
            </w:r>
          </w:p>
        </w:tc>
      </w:tr>
      <w:tr w:rsidR="00CB07C4" w:rsidRPr="00CA6CEA" w14:paraId="1303DFFD" w14:textId="77777777" w:rsidTr="00CA6CEA">
        <w:tc>
          <w:tcPr>
            <w:tcW w:w="384" w:type="pct"/>
            <w:shd w:val="clear" w:color="auto" w:fill="auto"/>
            <w:tcMar>
              <w:top w:w="0" w:type="dxa"/>
              <w:bottom w:w="0" w:type="dxa"/>
            </w:tcMar>
            <w:vAlign w:val="center"/>
          </w:tcPr>
          <w:p w14:paraId="27A7022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w:t>
            </w:r>
          </w:p>
        </w:tc>
        <w:tc>
          <w:tcPr>
            <w:tcW w:w="1889" w:type="pct"/>
            <w:shd w:val="clear" w:color="auto" w:fill="auto"/>
            <w:tcMar>
              <w:top w:w="0" w:type="dxa"/>
              <w:bottom w:w="0" w:type="dxa"/>
            </w:tcMar>
            <w:vAlign w:val="center"/>
          </w:tcPr>
          <w:p w14:paraId="4D09C33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Member of the Board of Directors</w:t>
            </w:r>
          </w:p>
        </w:tc>
        <w:tc>
          <w:tcPr>
            <w:tcW w:w="970" w:type="pct"/>
            <w:shd w:val="clear" w:color="auto" w:fill="auto"/>
            <w:tcMar>
              <w:top w:w="0" w:type="dxa"/>
              <w:bottom w:w="0" w:type="dxa"/>
            </w:tcMar>
            <w:vAlign w:val="center"/>
          </w:tcPr>
          <w:p w14:paraId="0A921DC6"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3,000,000</w:t>
            </w:r>
          </w:p>
        </w:tc>
        <w:tc>
          <w:tcPr>
            <w:tcW w:w="533" w:type="pct"/>
            <w:shd w:val="clear" w:color="auto" w:fill="auto"/>
            <w:tcMar>
              <w:top w:w="0" w:type="dxa"/>
              <w:bottom w:w="0" w:type="dxa"/>
            </w:tcMar>
            <w:vAlign w:val="center"/>
          </w:tcPr>
          <w:p w14:paraId="228CE8C8"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w:t>
            </w:r>
          </w:p>
        </w:tc>
        <w:tc>
          <w:tcPr>
            <w:tcW w:w="1224" w:type="pct"/>
            <w:shd w:val="clear" w:color="auto" w:fill="auto"/>
            <w:tcMar>
              <w:top w:w="0" w:type="dxa"/>
              <w:bottom w:w="0" w:type="dxa"/>
            </w:tcMar>
            <w:vAlign w:val="center"/>
          </w:tcPr>
          <w:p w14:paraId="12CB0ECF"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72,000,000</w:t>
            </w:r>
          </w:p>
        </w:tc>
      </w:tr>
      <w:tr w:rsidR="00CB07C4" w:rsidRPr="00CA6CEA" w14:paraId="6AB92AD1" w14:textId="77777777" w:rsidTr="00CA6CEA">
        <w:tc>
          <w:tcPr>
            <w:tcW w:w="384" w:type="pct"/>
            <w:shd w:val="clear" w:color="auto" w:fill="auto"/>
            <w:tcMar>
              <w:top w:w="0" w:type="dxa"/>
              <w:bottom w:w="0" w:type="dxa"/>
            </w:tcMar>
            <w:vAlign w:val="center"/>
          </w:tcPr>
          <w:p w14:paraId="16B496A6"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3</w:t>
            </w:r>
          </w:p>
        </w:tc>
        <w:tc>
          <w:tcPr>
            <w:tcW w:w="1889" w:type="pct"/>
            <w:shd w:val="clear" w:color="auto" w:fill="auto"/>
            <w:tcMar>
              <w:top w:w="0" w:type="dxa"/>
              <w:bottom w:w="0" w:type="dxa"/>
            </w:tcMar>
            <w:vAlign w:val="center"/>
          </w:tcPr>
          <w:p w14:paraId="2904187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Chief of the Supervisory Board</w:t>
            </w:r>
          </w:p>
        </w:tc>
        <w:tc>
          <w:tcPr>
            <w:tcW w:w="970" w:type="pct"/>
            <w:shd w:val="clear" w:color="auto" w:fill="auto"/>
            <w:tcMar>
              <w:top w:w="0" w:type="dxa"/>
              <w:bottom w:w="0" w:type="dxa"/>
            </w:tcMar>
            <w:vAlign w:val="center"/>
          </w:tcPr>
          <w:p w14:paraId="1D2ACBD2"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3,000,000</w:t>
            </w:r>
          </w:p>
        </w:tc>
        <w:tc>
          <w:tcPr>
            <w:tcW w:w="533" w:type="pct"/>
            <w:shd w:val="clear" w:color="auto" w:fill="auto"/>
            <w:tcMar>
              <w:top w:w="0" w:type="dxa"/>
              <w:bottom w:w="0" w:type="dxa"/>
            </w:tcMar>
            <w:vAlign w:val="center"/>
          </w:tcPr>
          <w:p w14:paraId="0DD9FB2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w:t>
            </w:r>
          </w:p>
        </w:tc>
        <w:tc>
          <w:tcPr>
            <w:tcW w:w="1224" w:type="pct"/>
            <w:shd w:val="clear" w:color="auto" w:fill="auto"/>
            <w:tcMar>
              <w:top w:w="0" w:type="dxa"/>
              <w:bottom w:w="0" w:type="dxa"/>
            </w:tcMar>
            <w:vAlign w:val="center"/>
          </w:tcPr>
          <w:p w14:paraId="7E85B68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36,000,000</w:t>
            </w:r>
          </w:p>
        </w:tc>
      </w:tr>
      <w:tr w:rsidR="00CB07C4" w:rsidRPr="00CA6CEA" w14:paraId="33C95F6A" w14:textId="77777777" w:rsidTr="00CA6CEA">
        <w:tc>
          <w:tcPr>
            <w:tcW w:w="384" w:type="pct"/>
            <w:shd w:val="clear" w:color="auto" w:fill="auto"/>
            <w:tcMar>
              <w:top w:w="0" w:type="dxa"/>
              <w:bottom w:w="0" w:type="dxa"/>
            </w:tcMar>
            <w:vAlign w:val="center"/>
          </w:tcPr>
          <w:p w14:paraId="5CAC8DD5"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4</w:t>
            </w:r>
          </w:p>
        </w:tc>
        <w:tc>
          <w:tcPr>
            <w:tcW w:w="1889" w:type="pct"/>
            <w:shd w:val="clear" w:color="auto" w:fill="auto"/>
            <w:tcMar>
              <w:top w:w="0" w:type="dxa"/>
              <w:bottom w:w="0" w:type="dxa"/>
            </w:tcMar>
            <w:vAlign w:val="center"/>
          </w:tcPr>
          <w:p w14:paraId="62CA1286"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Member of the Supervisory Board</w:t>
            </w:r>
          </w:p>
        </w:tc>
        <w:tc>
          <w:tcPr>
            <w:tcW w:w="970" w:type="pct"/>
            <w:shd w:val="clear" w:color="auto" w:fill="auto"/>
            <w:tcMar>
              <w:top w:w="0" w:type="dxa"/>
              <w:bottom w:w="0" w:type="dxa"/>
            </w:tcMar>
            <w:vAlign w:val="center"/>
          </w:tcPr>
          <w:p w14:paraId="7D3578F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2,000,000</w:t>
            </w:r>
          </w:p>
        </w:tc>
        <w:tc>
          <w:tcPr>
            <w:tcW w:w="533" w:type="pct"/>
            <w:shd w:val="clear" w:color="auto" w:fill="auto"/>
            <w:tcMar>
              <w:top w:w="0" w:type="dxa"/>
              <w:bottom w:w="0" w:type="dxa"/>
            </w:tcMar>
            <w:vAlign w:val="center"/>
          </w:tcPr>
          <w:p w14:paraId="076E9737"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w:t>
            </w:r>
          </w:p>
        </w:tc>
        <w:tc>
          <w:tcPr>
            <w:tcW w:w="1224" w:type="pct"/>
            <w:shd w:val="clear" w:color="auto" w:fill="auto"/>
            <w:tcMar>
              <w:top w:w="0" w:type="dxa"/>
              <w:bottom w:w="0" w:type="dxa"/>
            </w:tcMar>
            <w:vAlign w:val="center"/>
          </w:tcPr>
          <w:p w14:paraId="38ABD9A5"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48,000,000</w:t>
            </w:r>
          </w:p>
        </w:tc>
      </w:tr>
      <w:tr w:rsidR="00CB07C4" w:rsidRPr="00CA6CEA" w14:paraId="04AD5A84" w14:textId="77777777" w:rsidTr="00CA6CEA">
        <w:tc>
          <w:tcPr>
            <w:tcW w:w="384" w:type="pct"/>
            <w:shd w:val="clear" w:color="auto" w:fill="auto"/>
            <w:tcMar>
              <w:top w:w="0" w:type="dxa"/>
              <w:bottom w:w="0" w:type="dxa"/>
            </w:tcMar>
            <w:vAlign w:val="center"/>
          </w:tcPr>
          <w:p w14:paraId="4F5E427E" w14:textId="77777777" w:rsidR="00CB07C4" w:rsidRPr="00CA6CEA" w:rsidRDefault="00CB07C4" w:rsidP="00CA6CEA">
            <w:pPr>
              <w:spacing w:after="120" w:line="360" w:lineRule="auto"/>
              <w:rPr>
                <w:rFonts w:ascii="Arial" w:eastAsia="Arial" w:hAnsi="Arial" w:cs="Arial"/>
                <w:color w:val="010000"/>
                <w:sz w:val="20"/>
                <w:szCs w:val="20"/>
              </w:rPr>
            </w:pPr>
          </w:p>
        </w:tc>
        <w:tc>
          <w:tcPr>
            <w:tcW w:w="1889" w:type="pct"/>
            <w:shd w:val="clear" w:color="auto" w:fill="auto"/>
            <w:tcMar>
              <w:top w:w="0" w:type="dxa"/>
              <w:bottom w:w="0" w:type="dxa"/>
            </w:tcMar>
            <w:vAlign w:val="center"/>
          </w:tcPr>
          <w:p w14:paraId="6E29C592"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Total</w:t>
            </w:r>
          </w:p>
        </w:tc>
        <w:tc>
          <w:tcPr>
            <w:tcW w:w="970" w:type="pct"/>
            <w:shd w:val="clear" w:color="auto" w:fill="auto"/>
            <w:tcMar>
              <w:top w:w="0" w:type="dxa"/>
              <w:bottom w:w="0" w:type="dxa"/>
            </w:tcMar>
            <w:vAlign w:val="center"/>
          </w:tcPr>
          <w:p w14:paraId="538D5E29" w14:textId="77777777" w:rsidR="00CB07C4" w:rsidRPr="00CA6CEA" w:rsidRDefault="00CB07C4" w:rsidP="00CA6CEA">
            <w:pPr>
              <w:spacing w:after="120" w:line="360" w:lineRule="auto"/>
              <w:rPr>
                <w:rFonts w:ascii="Arial" w:eastAsia="Arial" w:hAnsi="Arial" w:cs="Arial"/>
                <w:color w:val="010000"/>
                <w:sz w:val="20"/>
                <w:szCs w:val="20"/>
              </w:rPr>
            </w:pPr>
          </w:p>
        </w:tc>
        <w:tc>
          <w:tcPr>
            <w:tcW w:w="533" w:type="pct"/>
            <w:shd w:val="clear" w:color="auto" w:fill="auto"/>
            <w:tcMar>
              <w:top w:w="0" w:type="dxa"/>
              <w:bottom w:w="0" w:type="dxa"/>
            </w:tcMar>
            <w:vAlign w:val="center"/>
          </w:tcPr>
          <w:p w14:paraId="716228ED" w14:textId="77777777" w:rsidR="00CB07C4" w:rsidRPr="00CA6CEA" w:rsidRDefault="00CB07C4" w:rsidP="00CA6CEA">
            <w:pPr>
              <w:spacing w:after="120" w:line="360" w:lineRule="auto"/>
              <w:rPr>
                <w:rFonts w:ascii="Arial" w:eastAsia="Arial" w:hAnsi="Arial" w:cs="Arial"/>
                <w:color w:val="010000"/>
                <w:sz w:val="20"/>
                <w:szCs w:val="20"/>
              </w:rPr>
            </w:pPr>
          </w:p>
        </w:tc>
        <w:tc>
          <w:tcPr>
            <w:tcW w:w="1224" w:type="pct"/>
            <w:shd w:val="clear" w:color="auto" w:fill="auto"/>
            <w:tcMar>
              <w:top w:w="0" w:type="dxa"/>
              <w:bottom w:w="0" w:type="dxa"/>
            </w:tcMar>
            <w:vAlign w:val="center"/>
          </w:tcPr>
          <w:p w14:paraId="5DC90ABA"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216,000,000</w:t>
            </w:r>
          </w:p>
        </w:tc>
      </w:tr>
    </w:tbl>
    <w:p w14:paraId="09761E5F" w14:textId="77777777" w:rsidR="00CB07C4" w:rsidRPr="00CA6CEA" w:rsidRDefault="002D2BA1" w:rsidP="00B82566">
      <w:pPr>
        <w:numPr>
          <w:ilvl w:val="0"/>
          <w:numId w:val="3"/>
        </w:numPr>
        <w:pBdr>
          <w:top w:val="nil"/>
          <w:left w:val="nil"/>
          <w:bottom w:val="nil"/>
          <w:right w:val="nil"/>
          <w:between w:val="nil"/>
        </w:pBdr>
        <w:tabs>
          <w:tab w:val="left" w:pos="432"/>
          <w:tab w:val="left" w:pos="2041"/>
        </w:tabs>
        <w:spacing w:after="120" w:line="360" w:lineRule="auto"/>
        <w:jc w:val="both"/>
        <w:rPr>
          <w:rFonts w:ascii="Arial" w:eastAsia="Arial" w:hAnsi="Arial" w:cs="Arial"/>
          <w:color w:val="010000"/>
          <w:sz w:val="20"/>
          <w:szCs w:val="20"/>
        </w:rPr>
      </w:pPr>
      <w:r w:rsidRPr="00CA6CEA">
        <w:rPr>
          <w:rFonts w:ascii="Arial" w:hAnsi="Arial" w:cs="Arial"/>
          <w:color w:val="010000"/>
          <w:sz w:val="20"/>
        </w:rPr>
        <w:t>When the completion rate of main targets (Average of output targets, revenue, profit before tax) reaches &lt;100% of the yearly plan, the remuneration of the Board of Directors and the Supervisory Board will be paid corresponding to the rate of plan completion but not lower than 70% of the benefit level.</w:t>
      </w:r>
    </w:p>
    <w:p w14:paraId="1377E0A1" w14:textId="77777777" w:rsidR="00CB07C4" w:rsidRPr="00CA6CEA" w:rsidRDefault="002D2BA1" w:rsidP="00B82566">
      <w:pPr>
        <w:numPr>
          <w:ilvl w:val="0"/>
          <w:numId w:val="3"/>
        </w:numPr>
        <w:pBdr>
          <w:top w:val="nil"/>
          <w:left w:val="nil"/>
          <w:bottom w:val="nil"/>
          <w:right w:val="nil"/>
          <w:between w:val="nil"/>
        </w:pBdr>
        <w:tabs>
          <w:tab w:val="left" w:pos="432"/>
          <w:tab w:val="left" w:pos="2051"/>
        </w:tabs>
        <w:spacing w:after="120" w:line="360" w:lineRule="auto"/>
        <w:jc w:val="both"/>
        <w:rPr>
          <w:rFonts w:ascii="Arial" w:eastAsia="Arial" w:hAnsi="Arial" w:cs="Arial"/>
          <w:color w:val="010000"/>
          <w:sz w:val="20"/>
          <w:szCs w:val="20"/>
        </w:rPr>
      </w:pPr>
      <w:r w:rsidRPr="00CA6CEA">
        <w:rPr>
          <w:rFonts w:ascii="Arial" w:hAnsi="Arial" w:cs="Arial"/>
          <w:color w:val="010000"/>
          <w:sz w:val="20"/>
        </w:rPr>
        <w:t>In case the Company exceeds its production, business and investment plans, the Board of Directors is authorized to decide to reward members of the Board of Directors, the Board of Managers and other managers with an amount not exceeding 10% of the profit after tax exceeding the plan, but up to a maximum of VND 200,000,000.</w:t>
      </w:r>
    </w:p>
    <w:p w14:paraId="78F14A37" w14:textId="77777777"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t>‎‎Article 6. Approve dismissing and electing additional members of the Supervisory Board for the remaining period of term IV (2022-2027).</w:t>
      </w:r>
    </w:p>
    <w:p w14:paraId="5BB915FE" w14:textId="77777777" w:rsidR="00CB07C4" w:rsidRPr="00CA6CEA" w:rsidRDefault="002D2BA1" w:rsidP="00B82566">
      <w:pPr>
        <w:numPr>
          <w:ilvl w:val="0"/>
          <w:numId w:val="4"/>
        </w:numPr>
        <w:pBdr>
          <w:top w:val="nil"/>
          <w:left w:val="nil"/>
          <w:bottom w:val="nil"/>
          <w:right w:val="nil"/>
          <w:between w:val="nil"/>
        </w:pBdr>
        <w:tabs>
          <w:tab w:val="left" w:pos="432"/>
          <w:tab w:val="left" w:pos="2036"/>
        </w:tabs>
        <w:spacing w:after="120" w:line="360" w:lineRule="auto"/>
        <w:jc w:val="both"/>
        <w:rPr>
          <w:rFonts w:ascii="Arial" w:eastAsia="Arial" w:hAnsi="Arial" w:cs="Arial"/>
          <w:color w:val="010000"/>
          <w:sz w:val="20"/>
          <w:szCs w:val="20"/>
        </w:rPr>
      </w:pPr>
      <w:r w:rsidRPr="00CA6CEA">
        <w:rPr>
          <w:rFonts w:ascii="Arial" w:hAnsi="Arial" w:cs="Arial"/>
          <w:color w:val="010000"/>
          <w:sz w:val="20"/>
        </w:rPr>
        <w:t xml:space="preserve">Approve dismissing Mr. Ung Vu Thanh and Mr. Nguyen Hung </w:t>
      </w:r>
      <w:proofErr w:type="spellStart"/>
      <w:r w:rsidRPr="00CA6CEA">
        <w:rPr>
          <w:rFonts w:ascii="Arial" w:hAnsi="Arial" w:cs="Arial"/>
          <w:color w:val="010000"/>
          <w:sz w:val="20"/>
        </w:rPr>
        <w:t>Hanh</w:t>
      </w:r>
      <w:proofErr w:type="spellEnd"/>
      <w:r w:rsidRPr="00CA6CEA">
        <w:rPr>
          <w:rFonts w:ascii="Arial" w:hAnsi="Arial" w:cs="Arial"/>
          <w:color w:val="010000"/>
          <w:sz w:val="20"/>
        </w:rPr>
        <w:t xml:space="preserve"> as members of the Supervisory Board for term IV (2022-2027).</w:t>
      </w:r>
    </w:p>
    <w:p w14:paraId="668D8E68" w14:textId="77777777" w:rsidR="00CB07C4" w:rsidRPr="00CA6CEA" w:rsidRDefault="002D2BA1" w:rsidP="00B82566">
      <w:pPr>
        <w:numPr>
          <w:ilvl w:val="0"/>
          <w:numId w:val="4"/>
        </w:numPr>
        <w:pBdr>
          <w:top w:val="nil"/>
          <w:left w:val="nil"/>
          <w:bottom w:val="nil"/>
          <w:right w:val="nil"/>
          <w:between w:val="nil"/>
        </w:pBdr>
        <w:tabs>
          <w:tab w:val="left" w:pos="432"/>
          <w:tab w:val="left" w:pos="2031"/>
        </w:tabs>
        <w:spacing w:after="120" w:line="360" w:lineRule="auto"/>
        <w:jc w:val="both"/>
        <w:rPr>
          <w:rFonts w:ascii="Arial" w:eastAsia="Arial" w:hAnsi="Arial" w:cs="Arial"/>
          <w:color w:val="010000"/>
          <w:sz w:val="20"/>
          <w:szCs w:val="20"/>
        </w:rPr>
      </w:pPr>
      <w:r w:rsidRPr="00CA6CEA">
        <w:rPr>
          <w:rFonts w:ascii="Arial" w:hAnsi="Arial" w:cs="Arial"/>
          <w:color w:val="010000"/>
          <w:sz w:val="20"/>
        </w:rPr>
        <w:t>Approve the list of candidates to elect additional members of the Company's Supervisory Board for the remaining period of term IV (2022-2027).</w:t>
      </w:r>
    </w:p>
    <w:p w14:paraId="5F9D2384" w14:textId="77777777" w:rsidR="00CB07C4" w:rsidRPr="00CA6CEA" w:rsidRDefault="002D2BA1" w:rsidP="00B82566">
      <w:pPr>
        <w:numPr>
          <w:ilvl w:val="0"/>
          <w:numId w:val="4"/>
        </w:numPr>
        <w:pBdr>
          <w:top w:val="nil"/>
          <w:left w:val="nil"/>
          <w:bottom w:val="nil"/>
          <w:right w:val="nil"/>
          <w:between w:val="nil"/>
        </w:pBdr>
        <w:tabs>
          <w:tab w:val="left" w:pos="432"/>
          <w:tab w:val="left" w:pos="2036"/>
        </w:tabs>
        <w:spacing w:after="120" w:line="360" w:lineRule="auto"/>
        <w:jc w:val="both"/>
        <w:rPr>
          <w:rFonts w:ascii="Arial" w:eastAsia="Arial" w:hAnsi="Arial" w:cs="Arial"/>
          <w:color w:val="010000"/>
          <w:sz w:val="20"/>
          <w:szCs w:val="20"/>
        </w:rPr>
      </w:pPr>
      <w:r w:rsidRPr="00CA6CEA">
        <w:rPr>
          <w:rFonts w:ascii="Arial" w:hAnsi="Arial" w:cs="Arial"/>
          <w:color w:val="010000"/>
          <w:sz w:val="20"/>
        </w:rPr>
        <w:t>Approve the Regulations for additional election of members of the Supervisory Board for the remaining period of term IV (202-2027).</w:t>
      </w:r>
    </w:p>
    <w:p w14:paraId="2A6862D6" w14:textId="77777777"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t xml:space="preserve">4. Additional election results of members of the Supervisory Board for the remaining period of term IV </w:t>
      </w:r>
      <w:r w:rsidRPr="00CA6CEA">
        <w:rPr>
          <w:rFonts w:ascii="Arial" w:hAnsi="Arial" w:cs="Arial"/>
          <w:color w:val="010000"/>
          <w:sz w:val="20"/>
        </w:rPr>
        <w:lastRenderedPageBreak/>
        <w:t>(2022-2027): List of candidates elected to the Supervisory Board for the remaining period of term IV (2023 - 2027):</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3526"/>
        <w:gridCol w:w="2332"/>
        <w:gridCol w:w="2312"/>
      </w:tblGrid>
      <w:tr w:rsidR="00CB07C4" w:rsidRPr="00CA6CEA" w14:paraId="0D657E8E" w14:textId="77777777" w:rsidTr="00CA6CEA">
        <w:tc>
          <w:tcPr>
            <w:tcW w:w="470" w:type="pct"/>
            <w:shd w:val="clear" w:color="auto" w:fill="auto"/>
            <w:tcMar>
              <w:top w:w="0" w:type="dxa"/>
              <w:bottom w:w="0" w:type="dxa"/>
            </w:tcMar>
            <w:vAlign w:val="center"/>
          </w:tcPr>
          <w:p w14:paraId="01A46418"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No.</w:t>
            </w:r>
          </w:p>
        </w:tc>
        <w:tc>
          <w:tcPr>
            <w:tcW w:w="1955" w:type="pct"/>
            <w:shd w:val="clear" w:color="auto" w:fill="auto"/>
            <w:tcMar>
              <w:top w:w="0" w:type="dxa"/>
              <w:bottom w:w="0" w:type="dxa"/>
            </w:tcMar>
            <w:vAlign w:val="center"/>
          </w:tcPr>
          <w:p w14:paraId="1AA0909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Full name</w:t>
            </w:r>
          </w:p>
        </w:tc>
        <w:tc>
          <w:tcPr>
            <w:tcW w:w="1293" w:type="pct"/>
            <w:shd w:val="clear" w:color="auto" w:fill="auto"/>
            <w:tcMar>
              <w:top w:w="0" w:type="dxa"/>
              <w:bottom w:w="0" w:type="dxa"/>
            </w:tcMar>
            <w:vAlign w:val="center"/>
          </w:tcPr>
          <w:p w14:paraId="1CD88ABD"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Number of votes</w:t>
            </w:r>
          </w:p>
        </w:tc>
        <w:tc>
          <w:tcPr>
            <w:tcW w:w="1282" w:type="pct"/>
            <w:shd w:val="clear" w:color="auto" w:fill="auto"/>
            <w:tcMar>
              <w:top w:w="0" w:type="dxa"/>
              <w:bottom w:w="0" w:type="dxa"/>
            </w:tcMar>
            <w:vAlign w:val="center"/>
          </w:tcPr>
          <w:p w14:paraId="3A4F4060"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Rate (%)</w:t>
            </w:r>
          </w:p>
        </w:tc>
      </w:tr>
      <w:tr w:rsidR="00CB07C4" w:rsidRPr="00CA6CEA" w14:paraId="71C789AF" w14:textId="77777777" w:rsidTr="00CA6CEA">
        <w:tc>
          <w:tcPr>
            <w:tcW w:w="470" w:type="pct"/>
            <w:shd w:val="clear" w:color="auto" w:fill="auto"/>
            <w:tcMar>
              <w:top w:w="0" w:type="dxa"/>
              <w:bottom w:w="0" w:type="dxa"/>
            </w:tcMar>
            <w:vAlign w:val="center"/>
          </w:tcPr>
          <w:p w14:paraId="09B4B6F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w:t>
            </w:r>
          </w:p>
        </w:tc>
        <w:tc>
          <w:tcPr>
            <w:tcW w:w="1955" w:type="pct"/>
            <w:shd w:val="clear" w:color="auto" w:fill="auto"/>
            <w:tcMar>
              <w:top w:w="0" w:type="dxa"/>
              <w:bottom w:w="0" w:type="dxa"/>
            </w:tcMar>
            <w:vAlign w:val="center"/>
          </w:tcPr>
          <w:p w14:paraId="74DB45F1"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 xml:space="preserve">Truong Tuan </w:t>
            </w:r>
            <w:proofErr w:type="spellStart"/>
            <w:r w:rsidRPr="00CA6CEA">
              <w:rPr>
                <w:rFonts w:ascii="Arial" w:hAnsi="Arial" w:cs="Arial"/>
                <w:color w:val="010000"/>
                <w:sz w:val="20"/>
              </w:rPr>
              <w:t>Tu</w:t>
            </w:r>
            <w:proofErr w:type="spellEnd"/>
          </w:p>
        </w:tc>
        <w:tc>
          <w:tcPr>
            <w:tcW w:w="1293" w:type="pct"/>
            <w:shd w:val="clear" w:color="auto" w:fill="auto"/>
            <w:tcMar>
              <w:top w:w="0" w:type="dxa"/>
              <w:bottom w:w="0" w:type="dxa"/>
            </w:tcMar>
            <w:vAlign w:val="center"/>
          </w:tcPr>
          <w:p w14:paraId="1B171B33"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5,603,290</w:t>
            </w:r>
          </w:p>
        </w:tc>
        <w:tc>
          <w:tcPr>
            <w:tcW w:w="1282" w:type="pct"/>
            <w:shd w:val="clear" w:color="auto" w:fill="auto"/>
            <w:tcMar>
              <w:top w:w="0" w:type="dxa"/>
              <w:bottom w:w="0" w:type="dxa"/>
            </w:tcMar>
            <w:vAlign w:val="center"/>
          </w:tcPr>
          <w:p w14:paraId="607B35B0"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100%</w:t>
            </w:r>
          </w:p>
        </w:tc>
      </w:tr>
      <w:tr w:rsidR="00CB07C4" w:rsidRPr="00CA6CEA" w14:paraId="763F15E4" w14:textId="77777777" w:rsidTr="00CA6CEA">
        <w:tc>
          <w:tcPr>
            <w:tcW w:w="470" w:type="pct"/>
            <w:shd w:val="clear" w:color="auto" w:fill="auto"/>
            <w:tcMar>
              <w:top w:w="0" w:type="dxa"/>
              <w:bottom w:w="0" w:type="dxa"/>
            </w:tcMar>
            <w:vAlign w:val="center"/>
          </w:tcPr>
          <w:p w14:paraId="0EF9FC3B"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2</w:t>
            </w:r>
          </w:p>
        </w:tc>
        <w:tc>
          <w:tcPr>
            <w:tcW w:w="1955" w:type="pct"/>
            <w:shd w:val="clear" w:color="auto" w:fill="auto"/>
            <w:tcMar>
              <w:top w:w="0" w:type="dxa"/>
              <w:bottom w:w="0" w:type="dxa"/>
            </w:tcMar>
            <w:vAlign w:val="center"/>
          </w:tcPr>
          <w:p w14:paraId="274E2E70"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 xml:space="preserve">Nguyen </w:t>
            </w:r>
            <w:proofErr w:type="spellStart"/>
            <w:r w:rsidRPr="00CA6CEA">
              <w:rPr>
                <w:rFonts w:ascii="Arial" w:hAnsi="Arial" w:cs="Arial"/>
                <w:color w:val="010000"/>
                <w:sz w:val="20"/>
              </w:rPr>
              <w:t>Tho</w:t>
            </w:r>
            <w:proofErr w:type="spellEnd"/>
            <w:r w:rsidRPr="00CA6CEA">
              <w:rPr>
                <w:rFonts w:ascii="Arial" w:hAnsi="Arial" w:cs="Arial"/>
                <w:color w:val="010000"/>
                <w:sz w:val="20"/>
              </w:rPr>
              <w:t xml:space="preserve"> Hoang</w:t>
            </w:r>
          </w:p>
        </w:tc>
        <w:tc>
          <w:tcPr>
            <w:tcW w:w="1293" w:type="pct"/>
            <w:shd w:val="clear" w:color="auto" w:fill="auto"/>
            <w:tcMar>
              <w:top w:w="0" w:type="dxa"/>
              <w:bottom w:w="0" w:type="dxa"/>
            </w:tcMar>
            <w:vAlign w:val="center"/>
          </w:tcPr>
          <w:p w14:paraId="7D5851B4"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5,603,290</w:t>
            </w:r>
          </w:p>
        </w:tc>
        <w:tc>
          <w:tcPr>
            <w:tcW w:w="1282" w:type="pct"/>
            <w:shd w:val="clear" w:color="auto" w:fill="auto"/>
            <w:tcMar>
              <w:top w:w="0" w:type="dxa"/>
              <w:bottom w:w="0" w:type="dxa"/>
            </w:tcMar>
            <w:vAlign w:val="center"/>
          </w:tcPr>
          <w:p w14:paraId="4043707C" w14:textId="77777777" w:rsidR="00CB07C4" w:rsidRPr="00CA6CEA" w:rsidRDefault="002D2BA1" w:rsidP="00CA6CEA">
            <w:pPr>
              <w:pBdr>
                <w:top w:val="nil"/>
                <w:left w:val="nil"/>
                <w:bottom w:val="nil"/>
                <w:right w:val="nil"/>
                <w:between w:val="nil"/>
              </w:pBdr>
              <w:spacing w:after="120" w:line="360" w:lineRule="auto"/>
              <w:rPr>
                <w:rFonts w:ascii="Arial" w:eastAsia="Arial" w:hAnsi="Arial" w:cs="Arial"/>
                <w:color w:val="010000"/>
                <w:sz w:val="20"/>
                <w:szCs w:val="20"/>
              </w:rPr>
            </w:pPr>
            <w:r w:rsidRPr="00CA6CEA">
              <w:rPr>
                <w:rFonts w:ascii="Arial" w:hAnsi="Arial" w:cs="Arial"/>
                <w:color w:val="010000"/>
                <w:sz w:val="20"/>
              </w:rPr>
              <w:t>100%</w:t>
            </w:r>
          </w:p>
        </w:tc>
      </w:tr>
    </w:tbl>
    <w:p w14:paraId="6D37CBA7" w14:textId="3E09BD6B"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t xml:space="preserve">Article 7: The Company's </w:t>
      </w:r>
      <w:r w:rsidR="00B82566">
        <w:rPr>
          <w:rFonts w:ascii="Arial" w:hAnsi="Arial" w:cs="Arial"/>
          <w:color w:val="010000"/>
          <w:sz w:val="20"/>
        </w:rPr>
        <w:t>General Meeting</w:t>
      </w:r>
      <w:r w:rsidRPr="00CA6CEA">
        <w:rPr>
          <w:rFonts w:ascii="Arial" w:hAnsi="Arial" w:cs="Arial"/>
          <w:color w:val="010000"/>
          <w:sz w:val="20"/>
        </w:rPr>
        <w:t xml:space="preserve"> assigns the Company's Board of Directors to deploy and implement the above contents </w:t>
      </w:r>
      <w:r w:rsidR="00B82566">
        <w:rPr>
          <w:rFonts w:ascii="Arial" w:hAnsi="Arial" w:cs="Arial"/>
          <w:color w:val="010000"/>
          <w:sz w:val="20"/>
        </w:rPr>
        <w:t>under applicable laws</w:t>
      </w:r>
      <w:r w:rsidRPr="00CA6CEA">
        <w:rPr>
          <w:rFonts w:ascii="Arial" w:hAnsi="Arial" w:cs="Arial"/>
          <w:color w:val="010000"/>
          <w:sz w:val="20"/>
        </w:rPr>
        <w:t xml:space="preserve">, the Company's Charter and report on implementation results at the next Annual </w:t>
      </w:r>
      <w:r w:rsidR="00B82566">
        <w:rPr>
          <w:rFonts w:ascii="Arial" w:hAnsi="Arial" w:cs="Arial"/>
          <w:color w:val="010000"/>
          <w:sz w:val="20"/>
        </w:rPr>
        <w:t>General Meeting</w:t>
      </w:r>
      <w:bookmarkStart w:id="0" w:name="_GoBack"/>
      <w:bookmarkEnd w:id="0"/>
      <w:r w:rsidRPr="00CA6CEA">
        <w:rPr>
          <w:rFonts w:ascii="Arial" w:hAnsi="Arial" w:cs="Arial"/>
          <w:color w:val="010000"/>
          <w:sz w:val="20"/>
        </w:rPr>
        <w:t xml:space="preserve">. </w:t>
      </w:r>
    </w:p>
    <w:p w14:paraId="108CC161" w14:textId="722E53A0"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t xml:space="preserve">Article 8: This General Mandate was approved by the </w:t>
      </w:r>
      <w:r w:rsidR="00B82566">
        <w:rPr>
          <w:rFonts w:ascii="Arial" w:hAnsi="Arial" w:cs="Arial"/>
          <w:color w:val="010000"/>
          <w:sz w:val="20"/>
        </w:rPr>
        <w:t>General Meeting</w:t>
      </w:r>
      <w:r w:rsidRPr="00CA6CEA">
        <w:rPr>
          <w:rFonts w:ascii="Arial" w:hAnsi="Arial" w:cs="Arial"/>
          <w:color w:val="010000"/>
          <w:sz w:val="20"/>
        </w:rPr>
        <w:t xml:space="preserve">s of </w:t>
      </w:r>
      <w:proofErr w:type="spellStart"/>
      <w:r w:rsidRPr="00CA6CEA">
        <w:rPr>
          <w:rFonts w:ascii="Arial" w:hAnsi="Arial" w:cs="Arial"/>
          <w:color w:val="010000"/>
          <w:sz w:val="20"/>
        </w:rPr>
        <w:t>Dak</w:t>
      </w:r>
      <w:proofErr w:type="spellEnd"/>
      <w:r w:rsidRPr="00CA6CEA">
        <w:rPr>
          <w:rFonts w:ascii="Arial" w:hAnsi="Arial" w:cs="Arial"/>
          <w:color w:val="010000"/>
          <w:sz w:val="20"/>
        </w:rPr>
        <w:t xml:space="preserve"> </w:t>
      </w:r>
      <w:proofErr w:type="spellStart"/>
      <w:r w:rsidRPr="00CA6CEA">
        <w:rPr>
          <w:rFonts w:ascii="Arial" w:hAnsi="Arial" w:cs="Arial"/>
          <w:color w:val="010000"/>
          <w:sz w:val="20"/>
        </w:rPr>
        <w:t>Doa</w:t>
      </w:r>
      <w:proofErr w:type="spellEnd"/>
      <w:r w:rsidRPr="00CA6CEA">
        <w:rPr>
          <w:rFonts w:ascii="Arial" w:hAnsi="Arial" w:cs="Arial"/>
          <w:color w:val="010000"/>
          <w:sz w:val="20"/>
        </w:rPr>
        <w:t xml:space="preserve"> Hydropower Joint Stock Company and takes effect from the date of its signing.</w:t>
      </w:r>
    </w:p>
    <w:p w14:paraId="02E35586" w14:textId="36D258BC" w:rsidR="00CB07C4" w:rsidRPr="00CA6CEA" w:rsidRDefault="002D2BA1" w:rsidP="00B82566">
      <w:pPr>
        <w:pBdr>
          <w:top w:val="nil"/>
          <w:left w:val="nil"/>
          <w:bottom w:val="nil"/>
          <w:right w:val="nil"/>
          <w:between w:val="nil"/>
        </w:pBdr>
        <w:spacing w:after="120" w:line="360" w:lineRule="auto"/>
        <w:jc w:val="both"/>
        <w:rPr>
          <w:rFonts w:ascii="Arial" w:eastAsia="Arial" w:hAnsi="Arial" w:cs="Arial"/>
          <w:color w:val="010000"/>
          <w:sz w:val="20"/>
          <w:szCs w:val="20"/>
        </w:rPr>
      </w:pPr>
      <w:r w:rsidRPr="00CA6CEA">
        <w:rPr>
          <w:rFonts w:ascii="Arial" w:hAnsi="Arial" w:cs="Arial"/>
          <w:color w:val="010000"/>
          <w:sz w:val="20"/>
        </w:rPr>
        <w:t xml:space="preserve">This General Mandate was approved in full by the Annual </w:t>
      </w:r>
      <w:r w:rsidR="00B82566">
        <w:rPr>
          <w:rFonts w:ascii="Arial" w:hAnsi="Arial" w:cs="Arial"/>
          <w:color w:val="010000"/>
          <w:sz w:val="20"/>
        </w:rPr>
        <w:t>General Meeting</w:t>
      </w:r>
      <w:r w:rsidRPr="00CA6CEA">
        <w:rPr>
          <w:rFonts w:ascii="Arial" w:hAnsi="Arial" w:cs="Arial"/>
          <w:color w:val="010000"/>
          <w:sz w:val="20"/>
        </w:rPr>
        <w:t xml:space="preserve">s 2024 of </w:t>
      </w:r>
      <w:proofErr w:type="spellStart"/>
      <w:r w:rsidRPr="00CA6CEA">
        <w:rPr>
          <w:rFonts w:ascii="Arial" w:hAnsi="Arial" w:cs="Arial"/>
          <w:color w:val="010000"/>
          <w:sz w:val="20"/>
        </w:rPr>
        <w:t>Dak</w:t>
      </w:r>
      <w:proofErr w:type="spellEnd"/>
      <w:r w:rsidRPr="00CA6CEA">
        <w:rPr>
          <w:rFonts w:ascii="Arial" w:hAnsi="Arial" w:cs="Arial"/>
          <w:color w:val="010000"/>
          <w:sz w:val="20"/>
        </w:rPr>
        <w:t xml:space="preserve"> </w:t>
      </w:r>
      <w:proofErr w:type="spellStart"/>
      <w:r w:rsidRPr="00CA6CEA">
        <w:rPr>
          <w:rFonts w:ascii="Arial" w:hAnsi="Arial" w:cs="Arial"/>
          <w:color w:val="010000"/>
          <w:sz w:val="20"/>
        </w:rPr>
        <w:t>Doa</w:t>
      </w:r>
      <w:proofErr w:type="spellEnd"/>
      <w:r w:rsidRPr="00CA6CEA">
        <w:rPr>
          <w:rFonts w:ascii="Arial" w:hAnsi="Arial" w:cs="Arial"/>
          <w:color w:val="010000"/>
          <w:sz w:val="20"/>
        </w:rPr>
        <w:t xml:space="preserve"> Hydropower Joint Stock Company at the meeting.</w:t>
      </w:r>
    </w:p>
    <w:sectPr w:rsidR="00CB07C4" w:rsidRPr="00CA6CEA" w:rsidSect="00CA6CE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036"/>
    <w:multiLevelType w:val="multilevel"/>
    <w:tmpl w:val="93C2ED8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4A3711"/>
    <w:multiLevelType w:val="multilevel"/>
    <w:tmpl w:val="8F7027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672270"/>
    <w:multiLevelType w:val="multilevel"/>
    <w:tmpl w:val="D6424B3A"/>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D159FE"/>
    <w:multiLevelType w:val="multilevel"/>
    <w:tmpl w:val="36A4786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C4"/>
    <w:rsid w:val="002D2BA1"/>
    <w:rsid w:val="00B82566"/>
    <w:rsid w:val="00CA6CEA"/>
    <w:rsid w:val="00CB0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87FD2"/>
  <w15:docId w15:val="{A46CC13D-B428-4122-8B25-6F49C550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Arial" w:eastAsia="Arial" w:hAnsi="Arial" w:cs="Arial"/>
      <w:b w:val="0"/>
      <w:bCs w:val="0"/>
      <w:i/>
      <w:iCs/>
      <w:smallCaps w:val="0"/>
      <w:strike w:val="0"/>
      <w:color w:val="A9505A"/>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A9505A"/>
      <w:w w:val="7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262325"/>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6"/>
      <w:szCs w:val="36"/>
      <w:u w:val="none"/>
      <w:shd w:val="clear" w:color="auto" w:fill="auto"/>
    </w:rPr>
  </w:style>
  <w:style w:type="paragraph" w:customStyle="1" w:styleId="Vnbnnidung0">
    <w:name w:val="Văn bản nội dung"/>
    <w:basedOn w:val="Normal"/>
    <w:link w:val="Vnbnnidung"/>
    <w:pPr>
      <w:spacing w:line="310" w:lineRule="auto"/>
    </w:pPr>
    <w:rPr>
      <w:rFonts w:ascii="Times New Roman" w:eastAsia="Times New Roman" w:hAnsi="Times New Roman" w:cs="Times New Roman"/>
    </w:rPr>
  </w:style>
  <w:style w:type="paragraph" w:customStyle="1" w:styleId="Vnbnnidung40">
    <w:name w:val="Văn bản nội dung (4)"/>
    <w:basedOn w:val="Normal"/>
    <w:link w:val="Vnbnnidung4"/>
    <w:rPr>
      <w:rFonts w:ascii="Times New Roman" w:eastAsia="Times New Roman" w:hAnsi="Times New Roman" w:cs="Times New Roman"/>
      <w:sz w:val="19"/>
      <w:szCs w:val="19"/>
    </w:rPr>
  </w:style>
  <w:style w:type="paragraph" w:customStyle="1" w:styleId="Tiu30">
    <w:name w:val="Tiêu đề #3"/>
    <w:basedOn w:val="Normal"/>
    <w:link w:val="Tiu3"/>
    <w:pPr>
      <w:spacing w:line="350" w:lineRule="auto"/>
      <w:outlineLvl w:val="2"/>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pPr>
      <w:spacing w:line="310" w:lineRule="auto"/>
    </w:pPr>
    <w:rPr>
      <w:rFonts w:ascii="Times New Roman" w:eastAsia="Times New Roman" w:hAnsi="Times New Roman" w:cs="Times New Roman"/>
    </w:rPr>
  </w:style>
  <w:style w:type="paragraph" w:customStyle="1" w:styleId="Tiu20">
    <w:name w:val="Tiêu đề #2"/>
    <w:basedOn w:val="Normal"/>
    <w:link w:val="Tiu2"/>
    <w:pPr>
      <w:outlineLvl w:val="1"/>
    </w:pPr>
    <w:rPr>
      <w:rFonts w:ascii="Arial" w:eastAsia="Arial" w:hAnsi="Arial" w:cs="Arial"/>
      <w:i/>
      <w:iCs/>
      <w:color w:val="A9505A"/>
      <w:sz w:val="28"/>
      <w:szCs w:val="28"/>
    </w:rPr>
  </w:style>
  <w:style w:type="paragraph" w:customStyle="1" w:styleId="Vnbnnidung50">
    <w:name w:val="Văn bản nội dung (5)"/>
    <w:basedOn w:val="Normal"/>
    <w:link w:val="Vnbnnidung5"/>
    <w:pPr>
      <w:spacing w:line="269" w:lineRule="auto"/>
    </w:pPr>
    <w:rPr>
      <w:rFonts w:ascii="Arial" w:eastAsia="Arial" w:hAnsi="Arial" w:cs="Arial"/>
      <w:b/>
      <w:bCs/>
      <w:color w:val="A9505A"/>
      <w:w w:val="70"/>
      <w:sz w:val="22"/>
      <w:szCs w:val="22"/>
    </w:rPr>
  </w:style>
  <w:style w:type="paragraph" w:customStyle="1" w:styleId="Vnbnnidung30">
    <w:name w:val="Văn bản nội dung (3)"/>
    <w:basedOn w:val="Normal"/>
    <w:link w:val="Vnbnnidung3"/>
    <w:rPr>
      <w:rFonts w:ascii="Arial" w:eastAsia="Arial" w:hAnsi="Arial" w:cs="Arial"/>
      <w:color w:val="262325"/>
      <w:sz w:val="17"/>
      <w:szCs w:val="17"/>
    </w:rPr>
  </w:style>
  <w:style w:type="paragraph" w:customStyle="1" w:styleId="Vnbnnidung20">
    <w:name w:val="Văn bản nội dung (2)"/>
    <w:basedOn w:val="Normal"/>
    <w:link w:val="Vnbnnidung2"/>
    <w:rPr>
      <w:rFonts w:ascii="Arial" w:eastAsia="Arial" w:hAnsi="Arial" w:cs="Arial"/>
      <w:sz w:val="11"/>
      <w:szCs w:val="11"/>
    </w:rPr>
  </w:style>
  <w:style w:type="paragraph" w:customStyle="1" w:styleId="Tiu10">
    <w:name w:val="Tiêu đề #1"/>
    <w:basedOn w:val="Normal"/>
    <w:link w:val="Tiu1"/>
    <w:pPr>
      <w:outlineLvl w:val="0"/>
    </w:pPr>
    <w:rPr>
      <w:rFonts w:ascii="Arial" w:eastAsia="Arial" w:hAnsi="Arial" w:cs="Arial"/>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AV6/CujdJZTOhZyZ/Kiv91i7rg==">CgMxLjAyCGguZ2pkZ3hzOAByITFYUTlFdHFhUVBrb204eTF4RzdGUGJyT1l0NTQ3MURqSQ==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2024-04-05T04:15:00Z</dcterms:created>
  <dcterms:modified xsi:type="dcterms:W3CDTF">2024-04-05T04:15:00Z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51db5f6f4cec7b979c462c8a451ff4e2b33e5a69b67621acf79f029a43fc84fe</vt:lpwstr>
  </property>
</Properties>
</file>