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F568B" w14:textId="605ADDAE" w:rsidR="001532D3" w:rsidRDefault="0013150E" w:rsidP="00DC39F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INN: Explanation on combined and consolidated profit in 2023</w:t>
      </w:r>
    </w:p>
    <w:p w14:paraId="3617E40A" w14:textId="4064DE61" w:rsidR="001532D3" w:rsidRDefault="0013150E" w:rsidP="00DC39F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March 25, 2024, Agriculture Printing and Packaging JSC 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announced Official Dispatch No. 16/CV-TCKT on the explanation of consolidated profit in 2023 as follows: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2048"/>
        <w:gridCol w:w="2044"/>
        <w:gridCol w:w="2061"/>
        <w:gridCol w:w="793"/>
      </w:tblGrid>
      <w:tr w:rsidR="001532D3" w14:paraId="0F747EC8" w14:textId="77777777">
        <w:tc>
          <w:tcPr>
            <w:tcW w:w="20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42275" w14:textId="77777777" w:rsidR="001532D3" w:rsidRDefault="0013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tax: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ABFA4" w14:textId="77777777" w:rsidR="001532D3" w:rsidRDefault="0013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2023</w:t>
            </w:r>
          </w:p>
        </w:tc>
        <w:tc>
          <w:tcPr>
            <w:tcW w:w="20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6C7F4" w14:textId="77777777" w:rsidR="001532D3" w:rsidRDefault="0013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2022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19928" w14:textId="77777777" w:rsidR="001532D3" w:rsidRDefault="0013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Difference</w:t>
            </w:r>
          </w:p>
        </w:tc>
        <w:tc>
          <w:tcPr>
            <w:tcW w:w="7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D723F" w14:textId="77777777" w:rsidR="001532D3" w:rsidRDefault="0013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</w:tr>
      <w:tr w:rsidR="001532D3" w14:paraId="200CC5AD" w14:textId="77777777">
        <w:tc>
          <w:tcPr>
            <w:tcW w:w="20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0725C" w14:textId="77777777" w:rsidR="001532D3" w:rsidRDefault="0013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Whole year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FF3A2" w14:textId="77777777" w:rsidR="001532D3" w:rsidRDefault="0013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99,240,927,593.0</w:t>
            </w:r>
          </w:p>
        </w:tc>
        <w:tc>
          <w:tcPr>
            <w:tcW w:w="20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2813F" w14:textId="77777777" w:rsidR="001532D3" w:rsidRDefault="0013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82,551,581,693.0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50DF3" w14:textId="77777777" w:rsidR="001532D3" w:rsidRDefault="0013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16,689,345,900.0</w:t>
            </w:r>
          </w:p>
        </w:tc>
        <w:tc>
          <w:tcPr>
            <w:tcW w:w="7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508BB" w14:textId="77777777" w:rsidR="001532D3" w:rsidRDefault="0013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20.2</w:t>
            </w:r>
          </w:p>
        </w:tc>
      </w:tr>
    </w:tbl>
    <w:p w14:paraId="25084C3A" w14:textId="77777777" w:rsidR="001532D3" w:rsidRDefault="0013150E" w:rsidP="00DC39F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Compared to 2022, in 2023 revenue from sales and service provision decreased by VND 177,419,697,821, equivalent to a decrease of 10.4%;</w:t>
      </w:r>
    </w:p>
    <w:p w14:paraId="4A610065" w14:textId="77777777" w:rsidR="001532D3" w:rsidRDefault="0013150E" w:rsidP="00DC39F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However, profit after tax increased by 20.2%; The underlying causes are as follows:</w:t>
      </w:r>
    </w:p>
    <w:p w14:paraId="06590CCB" w14:textId="0291E8E9" w:rsidR="001532D3" w:rsidRDefault="0013150E" w:rsidP="00DC39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color w:val="010000"/>
          <w:sz w:val="20"/>
        </w:rPr>
        <w:t xml:space="preserve">Net profit increased by VND 9,935,374,845, equivalent to an increase of 9.8% </w:t>
      </w:r>
      <w:r w:rsidR="00756C0C">
        <w:rPr>
          <w:rFonts w:ascii="Arial" w:hAnsi="Arial"/>
          <w:color w:val="010000"/>
          <w:sz w:val="20"/>
        </w:rPr>
        <w:t>because</w:t>
      </w:r>
      <w:r>
        <w:rPr>
          <w:rFonts w:ascii="Arial" w:hAnsi="Arial"/>
          <w:color w:val="010000"/>
          <w:sz w:val="20"/>
        </w:rPr>
        <w:t>:</w:t>
      </w:r>
    </w:p>
    <w:p w14:paraId="214C8304" w14:textId="77777777" w:rsidR="001532D3" w:rsidRDefault="0013150E" w:rsidP="00DC39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company took advantage of low-priced raw material inventory</w:t>
      </w:r>
    </w:p>
    <w:p w14:paraId="0F4AFDEF" w14:textId="77777777" w:rsidR="001532D3" w:rsidRDefault="0013150E" w:rsidP="00DC39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Strengthen strict management, reduce waste in the production process, and compete to increase labor productivity</w:t>
      </w:r>
    </w:p>
    <w:p w14:paraId="4AFC6642" w14:textId="77777777" w:rsidR="001532D3" w:rsidRDefault="0013150E" w:rsidP="00DC39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Reasonable financial policies reduced loan interest and increased financial revenue</w:t>
      </w:r>
    </w:p>
    <w:p w14:paraId="4FEBC0CD" w14:textId="77777777" w:rsidR="001532D3" w:rsidRDefault="0013150E" w:rsidP="00DC39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income tax costs exempted from the project according to investment registration certificate No. 1480182285 of the Management Board of industrial zones of Hung Yen province are: VND 8,759,897,453 has been disclosed in the financial statements 2023.</w:t>
      </w:r>
    </w:p>
    <w:sectPr w:rsidR="001532D3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04F04"/>
    <w:multiLevelType w:val="multilevel"/>
    <w:tmpl w:val="040C9BB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8813B64"/>
    <w:multiLevelType w:val="multilevel"/>
    <w:tmpl w:val="594419D6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D3"/>
    <w:rsid w:val="0013150E"/>
    <w:rsid w:val="001532D3"/>
    <w:rsid w:val="00756C0C"/>
    <w:rsid w:val="00D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130A"/>
  <w15:docId w15:val="{C0D3FF59-BE4E-405B-B0C4-215477E1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38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i/>
      <w:iCs/>
      <w:sz w:val="16"/>
      <w:szCs w:val="16"/>
    </w:rPr>
  </w:style>
  <w:style w:type="paragraph" w:customStyle="1" w:styleId="Other0">
    <w:name w:val="Other"/>
    <w:basedOn w:val="Normal"/>
    <w:link w:val="Other"/>
    <w:pPr>
      <w:ind w:firstLine="38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ind w:left="7760"/>
    </w:pPr>
    <w:rPr>
      <w:rFonts w:ascii="Times New Roman" w:eastAsia="Times New Roman" w:hAnsi="Times New Roman" w:cs="Times New Roman"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TwZXEROSrLCSRmYiURoqdE5fRQ==">CgMxLjAyCGguZ2pkZ3hzOAByITFMVUVOTzdELW1YazhuZWtlMHhJNjc1OThqRzNTTDhUeg==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2024-04-03T06:10:00Z</dcterms:created>
  <dcterms:modified xsi:type="dcterms:W3CDTF">2024-04-04T03:52:00Z</dcterms:modified>
</cp:coreProperties>
</file>